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6B2F10">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B277E4">
        <w:rPr>
          <w:rFonts w:ascii="Arial" w:hAnsi="Arial" w:cs="Arial"/>
          <w:sz w:val="24"/>
          <w:szCs w:val="24"/>
        </w:rPr>
        <w:t>Friday, 18 November 2016</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B277E4">
        <w:rPr>
          <w:rFonts w:ascii="Arial" w:eastAsia="Times New Roman" w:hAnsi="Arial" w:cs="Arial"/>
          <w:b/>
          <w:sz w:val="24"/>
          <w:szCs w:val="24"/>
        </w:rPr>
        <w:t>Business and Delivery Plan - 6 Monthly Monitoring Report – 2016/17</w:t>
      </w:r>
      <w:r>
        <w:rPr>
          <w:rFonts w:ascii="Arial" w:eastAsia="Times New Roman" w:hAnsi="Arial" w:cs="Arial"/>
          <w:b/>
          <w:sz w:val="24"/>
          <w:szCs w:val="24"/>
        </w:rPr>
        <w:fldChar w:fldCharType="end"/>
      </w:r>
    </w:p>
    <w:p w:rsidR="00D3134F" w:rsidRDefault="002C380F" w:rsidP="00D3134F">
      <w:pPr>
        <w:spacing w:after="0" w:line="240" w:lineRule="auto"/>
        <w:rPr>
          <w:rFonts w:ascii="Arial" w:hAnsi="Arial" w:cs="Arial"/>
          <w:sz w:val="24"/>
          <w:szCs w:val="24"/>
        </w:rPr>
      </w:pPr>
      <w:r>
        <w:rPr>
          <w:rFonts w:ascii="Arial" w:hAnsi="Arial" w:cs="Arial"/>
          <w:sz w:val="24"/>
          <w:szCs w:val="24"/>
        </w:rPr>
        <w:t>(Appendices 'A', 'B' and 'C' refer)</w:t>
      </w:r>
    </w:p>
    <w:p w:rsidR="002C380F" w:rsidRPr="00D3134F" w:rsidRDefault="002C380F" w:rsidP="00D3134F">
      <w:pPr>
        <w:spacing w:after="0" w:line="240" w:lineRule="auto"/>
        <w:rPr>
          <w:rFonts w:ascii="Arial" w:hAnsi="Arial" w:cs="Arial"/>
          <w:sz w:val="24"/>
          <w:szCs w:val="24"/>
        </w:rPr>
      </w:pPr>
    </w:p>
    <w:p w:rsidR="00D3134F" w:rsidRPr="00D3134F" w:rsidRDefault="00D3134F"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  \* MERGEFORMAT </w:instrText>
      </w:r>
      <w:r w:rsidR="00E1211C">
        <w:rPr>
          <w:rFonts w:ascii="Arial" w:hAnsi="Arial" w:cs="Arial"/>
          <w:b/>
          <w:sz w:val="24"/>
          <w:szCs w:val="24"/>
        </w:rPr>
        <w:fldChar w:fldCharType="separate"/>
      </w:r>
      <w:r w:rsidR="00B277E4">
        <w:rPr>
          <w:rFonts w:ascii="Arial" w:hAnsi="Arial" w:cs="Arial"/>
          <w:b/>
          <w:sz w:val="24"/>
          <w:szCs w:val="24"/>
        </w:rPr>
        <w:t>Sarah Parry</w:t>
      </w:r>
      <w:r w:rsidR="00E1211C">
        <w:rPr>
          <w:rFonts w:ascii="Arial" w:hAnsi="Arial" w:cs="Arial"/>
          <w:b/>
          <w:sz w:val="24"/>
          <w:szCs w:val="24"/>
        </w:rPr>
        <w:fldChar w:fldCharType="end"/>
      </w:r>
      <w:r w:rsidRPr="00D3134F">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LeadOfficerTel  \* MERGEFORMAT </w:instrText>
      </w:r>
      <w:r w:rsidR="00E1211C">
        <w:rPr>
          <w:rFonts w:ascii="Arial" w:hAnsi="Arial" w:cs="Arial"/>
          <w:b/>
          <w:sz w:val="24"/>
          <w:szCs w:val="24"/>
        </w:rPr>
        <w:fldChar w:fldCharType="separate"/>
      </w:r>
      <w:r w:rsidR="00B277E4">
        <w:rPr>
          <w:rFonts w:ascii="Arial" w:hAnsi="Arial" w:cs="Arial"/>
          <w:b/>
          <w:sz w:val="24"/>
          <w:szCs w:val="24"/>
        </w:rPr>
        <w:t>Tel: 01772 530615</w:t>
      </w:r>
      <w:r w:rsidR="00E1211C">
        <w:rPr>
          <w:rFonts w:ascii="Arial" w:hAnsi="Arial" w:cs="Arial"/>
          <w:b/>
          <w:sz w:val="24"/>
          <w:szCs w:val="24"/>
        </w:rPr>
        <w:fldChar w:fldCharType="end"/>
      </w:r>
      <w:r w:rsidRPr="00D3134F">
        <w:rPr>
          <w:rFonts w:ascii="Arial" w:hAnsi="Arial" w:cs="Arial"/>
          <w:b/>
          <w:sz w:val="24"/>
          <w:szCs w:val="24"/>
        </w:rPr>
        <w:t xml:space="preserve">, </w:t>
      </w:r>
    </w:p>
    <w:p w:rsidR="00D3134F" w:rsidRPr="00D3134F" w:rsidRDefault="00E1211C"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sidR="00B277E4">
        <w:rPr>
          <w:rFonts w:ascii="Arial" w:hAnsi="Arial" w:cs="Arial"/>
          <w:b/>
          <w:sz w:val="24"/>
          <w:szCs w:val="24"/>
        </w:rPr>
        <w:t>sarah.parry@lancashire.gov.uk</w:t>
      </w:r>
      <w:r>
        <w:rPr>
          <w:rFonts w:ascii="Arial" w:hAnsi="Arial" w:cs="Arial"/>
          <w:b/>
          <w:sz w:val="24"/>
          <w:szCs w:val="24"/>
        </w:rPr>
        <w:fldChar w:fldCharType="end"/>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2C380F">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This report provides an overview of how the City Deal Programme has performed during and up to 30</w:t>
            </w:r>
            <w:r w:rsidRPr="006C7D5D">
              <w:rPr>
                <w:rFonts w:ascii="Arial" w:hAnsi="Arial" w:cs="Arial"/>
                <w:sz w:val="24"/>
                <w:szCs w:val="24"/>
                <w:vertAlign w:val="superscript"/>
              </w:rPr>
              <w:t>th</w:t>
            </w:r>
            <w:r>
              <w:rPr>
                <w:rFonts w:ascii="Arial" w:hAnsi="Arial" w:cs="Arial"/>
                <w:sz w:val="24"/>
                <w:szCs w:val="24"/>
              </w:rPr>
              <w:t xml:space="preserve"> September 2016 (the first 6 months of Year 3).  It provides both quantitative and qualitative information, and includes the 6 monthly monitoring return to Government. For ease of reference, the report has been divided into the following sections:</w:t>
            </w:r>
          </w:p>
          <w:p w:rsidR="006B2F10" w:rsidRDefault="006B2F10" w:rsidP="006B2F10">
            <w:pPr>
              <w:tabs>
                <w:tab w:val="left" w:pos="0"/>
              </w:tabs>
              <w:spacing w:after="0" w:line="240" w:lineRule="auto"/>
              <w:jc w:val="both"/>
              <w:rPr>
                <w:rFonts w:ascii="Arial" w:hAnsi="Arial" w:cs="Arial"/>
                <w:sz w:val="24"/>
                <w:szCs w:val="24"/>
              </w:rPr>
            </w:pP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 xml:space="preserve">Section A: Housing </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 xml:space="preserve">Section B: Commercial </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Section C: Jobs</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Section D: Private/Public Sector Investment</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Section E: Infrastructure Delivery and Implementation Issues</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Section F: Risk Management</w:t>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Section G: Future Monitoring Activity</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6B2F10" w:rsidRPr="00084432" w:rsidRDefault="006B2F10" w:rsidP="006B2F10">
            <w:pPr>
              <w:pStyle w:val="NoSpacing"/>
              <w:jc w:val="both"/>
              <w:rPr>
                <w:rFonts w:cs="Arial"/>
                <w:szCs w:val="24"/>
              </w:rPr>
            </w:pPr>
            <w:r w:rsidRPr="00084432">
              <w:rPr>
                <w:rFonts w:cs="Arial"/>
                <w:szCs w:val="24"/>
              </w:rPr>
              <w:t>That the Executive and Stewardship Board:-</w:t>
            </w:r>
          </w:p>
          <w:p w:rsidR="006B2F10" w:rsidRDefault="006B2F10" w:rsidP="006B2F10">
            <w:pPr>
              <w:pStyle w:val="NoSpacing"/>
              <w:jc w:val="both"/>
              <w:rPr>
                <w:rFonts w:cs="Arial"/>
                <w:szCs w:val="24"/>
              </w:rPr>
            </w:pPr>
          </w:p>
          <w:p w:rsidR="006B2F10" w:rsidRDefault="006B2F10" w:rsidP="002C380F">
            <w:pPr>
              <w:pStyle w:val="NoSpacing"/>
              <w:numPr>
                <w:ilvl w:val="0"/>
                <w:numId w:val="5"/>
              </w:numPr>
              <w:jc w:val="both"/>
              <w:rPr>
                <w:rFonts w:cs="Arial"/>
                <w:szCs w:val="24"/>
              </w:rPr>
            </w:pPr>
            <w:r>
              <w:rPr>
                <w:rFonts w:cs="Arial"/>
                <w:szCs w:val="24"/>
              </w:rPr>
              <w:t>Approve the information contained in this report as part of the Monitoring Return to Government</w:t>
            </w:r>
            <w:r w:rsidR="002C380F">
              <w:rPr>
                <w:rFonts w:cs="Arial"/>
                <w:szCs w:val="24"/>
              </w:rPr>
              <w:t>.</w:t>
            </w:r>
          </w:p>
          <w:p w:rsidR="002C380F" w:rsidRDefault="002C380F" w:rsidP="002C380F">
            <w:pPr>
              <w:pStyle w:val="NoSpacing"/>
              <w:ind w:left="720"/>
              <w:jc w:val="both"/>
              <w:rPr>
                <w:rFonts w:cs="Arial"/>
                <w:szCs w:val="24"/>
              </w:rPr>
            </w:pPr>
          </w:p>
          <w:p w:rsidR="006B2F10" w:rsidRDefault="006B2F10" w:rsidP="006B2F10">
            <w:pPr>
              <w:pStyle w:val="NoSpacing"/>
              <w:numPr>
                <w:ilvl w:val="0"/>
                <w:numId w:val="5"/>
              </w:numPr>
              <w:jc w:val="both"/>
              <w:rPr>
                <w:rFonts w:cs="Arial"/>
                <w:szCs w:val="24"/>
              </w:rPr>
            </w:pPr>
            <w:r>
              <w:rPr>
                <w:rFonts w:cs="Arial"/>
                <w:szCs w:val="24"/>
              </w:rPr>
              <w:t>Note the progress being made to deliver the development sites and infrastructure schemes.</w:t>
            </w:r>
          </w:p>
          <w:p w:rsidR="002C380F" w:rsidRDefault="002C380F" w:rsidP="002C380F">
            <w:pPr>
              <w:pStyle w:val="NoSpacing"/>
              <w:jc w:val="both"/>
              <w:rPr>
                <w:rFonts w:cs="Arial"/>
                <w:szCs w:val="24"/>
              </w:rPr>
            </w:pPr>
          </w:p>
          <w:p w:rsidR="006B2F10" w:rsidRDefault="006B2F10" w:rsidP="006B2F10">
            <w:pPr>
              <w:pStyle w:val="NoSpacing"/>
              <w:numPr>
                <w:ilvl w:val="0"/>
                <w:numId w:val="5"/>
              </w:numPr>
              <w:jc w:val="both"/>
              <w:rPr>
                <w:rFonts w:cs="Arial"/>
                <w:szCs w:val="24"/>
              </w:rPr>
            </w:pPr>
            <w:r>
              <w:rPr>
                <w:rFonts w:cs="Arial"/>
                <w:szCs w:val="24"/>
              </w:rPr>
              <w:t>Agree to reallocate the £80,000 currently identified for the Blackpool Road Section of the Guild Wheel, to the Cannon Street Works instead, in order to enable the scheme to be completed, and the Blackpool Road improvement scheme be picked up as part of the longer term reinstatement works.</w:t>
            </w:r>
          </w:p>
          <w:p w:rsidR="002C380F" w:rsidRDefault="002C380F" w:rsidP="002C380F">
            <w:pPr>
              <w:pStyle w:val="NoSpacing"/>
              <w:jc w:val="both"/>
              <w:rPr>
                <w:rFonts w:cs="Arial"/>
                <w:szCs w:val="24"/>
              </w:rPr>
            </w:pPr>
          </w:p>
          <w:p w:rsidR="006B2F10" w:rsidRDefault="006B2F10" w:rsidP="006B2F10">
            <w:pPr>
              <w:pStyle w:val="NoSpacing"/>
              <w:numPr>
                <w:ilvl w:val="0"/>
                <w:numId w:val="5"/>
              </w:numPr>
              <w:jc w:val="both"/>
              <w:rPr>
                <w:rFonts w:cs="Arial"/>
                <w:szCs w:val="24"/>
              </w:rPr>
            </w:pPr>
            <w:r>
              <w:rPr>
                <w:rFonts w:cs="Arial"/>
                <w:szCs w:val="24"/>
              </w:rPr>
              <w:t xml:space="preserve">Note the future monitoring activity and reporting as outlined in Section G. </w:t>
            </w:r>
          </w:p>
          <w:p w:rsidR="00D3134F" w:rsidRPr="00D3134F" w:rsidRDefault="00D3134F" w:rsidP="00D3134F">
            <w:pPr>
              <w:spacing w:after="0" w:line="240" w:lineRule="auto"/>
              <w:rPr>
                <w:rFonts w:ascii="Arial" w:hAnsi="Arial" w:cs="Arial"/>
                <w:sz w:val="24"/>
                <w:szCs w:val="24"/>
              </w:rPr>
            </w:pPr>
          </w:p>
        </w:tc>
      </w:tr>
    </w:tbl>
    <w:p w:rsid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lastRenderedPageBreak/>
        <w:t xml:space="preserve">Background and Advice </w:t>
      </w:r>
    </w:p>
    <w:p w:rsidR="00D3134F" w:rsidRPr="00D3134F" w:rsidRDefault="00D3134F" w:rsidP="00D3134F">
      <w:pPr>
        <w:spacing w:after="0" w:line="240" w:lineRule="auto"/>
        <w:rPr>
          <w:rFonts w:ascii="Arial" w:hAnsi="Arial" w:cs="Arial"/>
          <w:b/>
          <w:sz w:val="24"/>
          <w:szCs w:val="24"/>
        </w:rPr>
      </w:pPr>
    </w:p>
    <w:p w:rsidR="006B2F10" w:rsidRPr="0043617E" w:rsidRDefault="006B2F10" w:rsidP="006B2F10">
      <w:pPr>
        <w:tabs>
          <w:tab w:val="left" w:pos="0"/>
        </w:tabs>
        <w:spacing w:after="0" w:line="240" w:lineRule="auto"/>
        <w:jc w:val="both"/>
        <w:rPr>
          <w:rFonts w:ascii="Arial" w:hAnsi="Arial" w:cs="Arial"/>
          <w:sz w:val="24"/>
          <w:szCs w:val="24"/>
        </w:rPr>
      </w:pPr>
      <w:r w:rsidRPr="0043617E">
        <w:rPr>
          <w:rFonts w:ascii="Arial" w:hAnsi="Arial" w:cs="Arial"/>
          <w:sz w:val="24"/>
          <w:szCs w:val="24"/>
        </w:rPr>
        <w:t xml:space="preserve">The </w:t>
      </w:r>
      <w:r>
        <w:rPr>
          <w:rFonts w:ascii="Arial" w:hAnsi="Arial" w:cs="Arial"/>
          <w:sz w:val="24"/>
          <w:szCs w:val="24"/>
        </w:rPr>
        <w:t xml:space="preserve">Preston, South </w:t>
      </w:r>
      <w:proofErr w:type="spellStart"/>
      <w:r>
        <w:rPr>
          <w:rFonts w:ascii="Arial" w:hAnsi="Arial" w:cs="Arial"/>
          <w:sz w:val="24"/>
          <w:szCs w:val="24"/>
        </w:rPr>
        <w:t>Ribble</w:t>
      </w:r>
      <w:proofErr w:type="spellEnd"/>
      <w:r>
        <w:rPr>
          <w:rFonts w:ascii="Arial" w:hAnsi="Arial" w:cs="Arial"/>
          <w:sz w:val="24"/>
          <w:szCs w:val="24"/>
        </w:rPr>
        <w:t xml:space="preserve"> and Lancashire </w:t>
      </w:r>
      <w:r w:rsidRPr="0043617E">
        <w:rPr>
          <w:rFonts w:ascii="Arial" w:hAnsi="Arial" w:cs="Arial"/>
          <w:sz w:val="24"/>
          <w:szCs w:val="24"/>
        </w:rPr>
        <w:t xml:space="preserve">City Deal </w:t>
      </w:r>
      <w:r>
        <w:rPr>
          <w:rFonts w:ascii="Arial" w:hAnsi="Arial" w:cs="Arial"/>
          <w:sz w:val="24"/>
          <w:szCs w:val="24"/>
        </w:rPr>
        <w:t xml:space="preserve">is a 10 year Programme to provide key infrastructure in support of the delivery of 17,000 houses, over 1m </w:t>
      </w:r>
      <w:proofErr w:type="spellStart"/>
      <w:r>
        <w:rPr>
          <w:rFonts w:ascii="Arial" w:hAnsi="Arial" w:cs="Arial"/>
          <w:sz w:val="24"/>
          <w:szCs w:val="24"/>
        </w:rPr>
        <w:t>sqm</w:t>
      </w:r>
      <w:proofErr w:type="spellEnd"/>
      <w:r>
        <w:rPr>
          <w:rFonts w:ascii="Arial" w:hAnsi="Arial" w:cs="Arial"/>
          <w:sz w:val="24"/>
          <w:szCs w:val="24"/>
        </w:rPr>
        <w:t xml:space="preserve"> of commercial </w:t>
      </w:r>
      <w:proofErr w:type="spellStart"/>
      <w:r>
        <w:rPr>
          <w:rFonts w:ascii="Arial" w:hAnsi="Arial" w:cs="Arial"/>
          <w:sz w:val="24"/>
          <w:szCs w:val="24"/>
        </w:rPr>
        <w:t>floorspace</w:t>
      </w:r>
      <w:proofErr w:type="spellEnd"/>
      <w:r>
        <w:rPr>
          <w:rFonts w:ascii="Arial" w:hAnsi="Arial" w:cs="Arial"/>
          <w:sz w:val="24"/>
          <w:szCs w:val="24"/>
        </w:rPr>
        <w:t xml:space="preserve"> and around 20,000 jobs.    </w:t>
      </w:r>
    </w:p>
    <w:p w:rsidR="006B2F10" w:rsidRPr="006B2F10" w:rsidRDefault="006B2F10" w:rsidP="006B2F10">
      <w:pPr>
        <w:tabs>
          <w:tab w:val="left" w:pos="0"/>
        </w:tabs>
        <w:spacing w:after="0" w:line="240" w:lineRule="auto"/>
        <w:jc w:val="both"/>
        <w:rPr>
          <w:rFonts w:ascii="Arial" w:hAnsi="Arial" w:cs="Arial"/>
          <w:b/>
          <w:sz w:val="24"/>
          <w:szCs w:val="24"/>
        </w:rPr>
      </w:pPr>
      <w:r>
        <w:rPr>
          <w:rFonts w:ascii="Arial" w:hAnsi="Arial" w:cs="Arial"/>
          <w:b/>
          <w:sz w:val="24"/>
          <w:szCs w:val="24"/>
        </w:rPr>
        <w:tab/>
      </w:r>
    </w:p>
    <w:p w:rsidR="006B2F10" w:rsidRDefault="006B2F10" w:rsidP="006B2F10">
      <w:pPr>
        <w:tabs>
          <w:tab w:val="left" w:pos="0"/>
        </w:tabs>
        <w:spacing w:after="0" w:line="240" w:lineRule="auto"/>
        <w:jc w:val="both"/>
        <w:rPr>
          <w:rFonts w:ascii="Arial" w:hAnsi="Arial" w:cs="Arial"/>
          <w:sz w:val="24"/>
          <w:szCs w:val="24"/>
        </w:rPr>
      </w:pPr>
      <w:r>
        <w:rPr>
          <w:rFonts w:ascii="Arial" w:hAnsi="Arial" w:cs="Arial"/>
          <w:sz w:val="24"/>
          <w:szCs w:val="24"/>
        </w:rPr>
        <w:t>Monitoring metrics have been agreed between Government and the City Deal Executive and Stewardship Board (E&amp;SB) in order to monitor progress and manage risk. The primary purpose of this report is to set out progress against the Core and Supporting metrics and these are reported in tables 1-5 below.</w:t>
      </w:r>
    </w:p>
    <w:p w:rsidR="006B2F10" w:rsidRDefault="006B2F10" w:rsidP="006B2F10">
      <w:pPr>
        <w:pStyle w:val="NoSpacing"/>
        <w:jc w:val="both"/>
        <w:rPr>
          <w:rFonts w:cs="Arial"/>
          <w:szCs w:val="24"/>
        </w:rPr>
      </w:pPr>
    </w:p>
    <w:p w:rsidR="006B2F10" w:rsidRDefault="006B2F10" w:rsidP="006B2F10">
      <w:pPr>
        <w:pStyle w:val="NoSpacing"/>
        <w:jc w:val="both"/>
        <w:rPr>
          <w:rFonts w:cs="Arial"/>
          <w:szCs w:val="24"/>
        </w:rPr>
      </w:pPr>
      <w:r w:rsidRPr="004C1A88">
        <w:rPr>
          <w:rFonts w:cs="Arial"/>
          <w:szCs w:val="24"/>
        </w:rPr>
        <w:t>Over the last six months, a significant amount of work has been undertaken to review the housing and commercial site delivery assumptions made at the outset of the Deal.  Revised projections have been endorsed by the CD E&amp;SB and these have therefore been used as the baseline for assessing performance in the current year.</w:t>
      </w:r>
      <w:r w:rsidRPr="001918D7">
        <w:rPr>
          <w:rFonts w:cs="Arial"/>
          <w:szCs w:val="24"/>
        </w:rPr>
        <w:t xml:space="preserve"> </w:t>
      </w:r>
    </w:p>
    <w:p w:rsidR="006B2F10" w:rsidRDefault="006B2F10" w:rsidP="006B2F10">
      <w:pPr>
        <w:pStyle w:val="NoSpacing"/>
        <w:jc w:val="both"/>
        <w:rPr>
          <w:rFonts w:cs="Arial"/>
          <w:szCs w:val="24"/>
        </w:rPr>
      </w:pPr>
    </w:p>
    <w:p w:rsidR="006B2F10" w:rsidRDefault="006B2F10" w:rsidP="006B2F10">
      <w:pPr>
        <w:pStyle w:val="NoSpacing"/>
        <w:jc w:val="both"/>
        <w:rPr>
          <w:rFonts w:cs="Arial"/>
          <w:szCs w:val="24"/>
        </w:rPr>
      </w:pPr>
      <w:r>
        <w:rPr>
          <w:rFonts w:cs="Arial"/>
          <w:szCs w:val="24"/>
        </w:rPr>
        <w:t>The content of this report has been contributed to, and considered by, a number of City Deal working Groups, including the Monitoring Group, Infrastructure Delivery Steering Group, Project Team and Programme Board.</w:t>
      </w:r>
    </w:p>
    <w:p w:rsidR="006B2F10" w:rsidRDefault="006B2F10" w:rsidP="006B2F10">
      <w:pPr>
        <w:pStyle w:val="NoSpacing"/>
        <w:jc w:val="both"/>
        <w:rPr>
          <w:rFonts w:cs="Arial"/>
          <w:szCs w:val="24"/>
        </w:rPr>
      </w:pPr>
    </w:p>
    <w:p w:rsidR="006B2F10" w:rsidRPr="00731172" w:rsidRDefault="006B2F10" w:rsidP="006B2F10">
      <w:pPr>
        <w:pStyle w:val="NoSpacing"/>
        <w:jc w:val="both"/>
        <w:rPr>
          <w:rFonts w:cs="Arial"/>
          <w:b/>
          <w:szCs w:val="24"/>
          <w:u w:val="single"/>
        </w:rPr>
      </w:pPr>
      <w:r w:rsidRPr="00731172">
        <w:rPr>
          <w:rFonts w:cs="Arial"/>
          <w:b/>
          <w:szCs w:val="24"/>
          <w:u w:val="single"/>
        </w:rPr>
        <w:t>S</w:t>
      </w:r>
      <w:r>
        <w:rPr>
          <w:rFonts w:cs="Arial"/>
          <w:b/>
          <w:szCs w:val="24"/>
          <w:u w:val="single"/>
        </w:rPr>
        <w:t>ECTION</w:t>
      </w:r>
      <w:r w:rsidRPr="00731172">
        <w:rPr>
          <w:rFonts w:cs="Arial"/>
          <w:b/>
          <w:szCs w:val="24"/>
          <w:u w:val="single"/>
        </w:rPr>
        <w:t xml:space="preserve"> </w:t>
      </w:r>
      <w:proofErr w:type="gramStart"/>
      <w:r w:rsidRPr="00731172">
        <w:rPr>
          <w:rFonts w:cs="Arial"/>
          <w:b/>
          <w:szCs w:val="24"/>
          <w:u w:val="single"/>
        </w:rPr>
        <w:t>A</w:t>
      </w:r>
      <w:proofErr w:type="gramEnd"/>
      <w:r w:rsidRPr="00731172">
        <w:rPr>
          <w:rFonts w:cs="Arial"/>
          <w:b/>
          <w:szCs w:val="24"/>
          <w:u w:val="single"/>
        </w:rPr>
        <w:t xml:space="preserve"> – </w:t>
      </w:r>
      <w:r>
        <w:rPr>
          <w:rFonts w:cs="Arial"/>
          <w:b/>
          <w:szCs w:val="24"/>
          <w:u w:val="single"/>
        </w:rPr>
        <w:t>HOUSING</w:t>
      </w:r>
    </w:p>
    <w:p w:rsidR="006B2F10" w:rsidRDefault="006B2F10" w:rsidP="006B2F10">
      <w:pPr>
        <w:pStyle w:val="NoSpacing"/>
        <w:jc w:val="both"/>
        <w:rPr>
          <w:rFonts w:cs="Arial"/>
          <w:szCs w:val="24"/>
        </w:rPr>
      </w:pPr>
    </w:p>
    <w:p w:rsidR="006B2F10" w:rsidRDefault="006B2F10" w:rsidP="006B2F10">
      <w:pPr>
        <w:pStyle w:val="NoSpacing"/>
        <w:jc w:val="both"/>
        <w:rPr>
          <w:rFonts w:cs="Arial"/>
          <w:b/>
          <w:szCs w:val="24"/>
        </w:rPr>
      </w:pPr>
      <w:r>
        <w:rPr>
          <w:rFonts w:cs="Arial"/>
          <w:b/>
          <w:szCs w:val="24"/>
        </w:rPr>
        <w:t>Housing</w:t>
      </w:r>
      <w:r w:rsidRPr="003F0D0C">
        <w:rPr>
          <w:rFonts w:cs="Arial"/>
          <w:b/>
          <w:szCs w:val="24"/>
        </w:rPr>
        <w:t xml:space="preserve"> Outputs</w:t>
      </w:r>
    </w:p>
    <w:p w:rsidR="006B2F10" w:rsidRDefault="006B2F10" w:rsidP="006B2F10">
      <w:pPr>
        <w:pStyle w:val="NoSpacing"/>
        <w:jc w:val="both"/>
        <w:rPr>
          <w:rFonts w:cs="Arial"/>
          <w:b/>
          <w:szCs w:val="24"/>
        </w:rPr>
      </w:pPr>
    </w:p>
    <w:p w:rsidR="006B2F10" w:rsidRDefault="006B2F10" w:rsidP="006B2F10">
      <w:pPr>
        <w:pStyle w:val="NoSpacing"/>
        <w:jc w:val="both"/>
        <w:rPr>
          <w:rFonts w:cs="Arial"/>
          <w:b/>
          <w:szCs w:val="24"/>
        </w:rPr>
      </w:pPr>
      <w:r>
        <w:rPr>
          <w:rFonts w:cs="Arial"/>
          <w:szCs w:val="24"/>
        </w:rPr>
        <w:t>The table below shows progress against Year 3 Core and Supporting Housing output targets (for the first 6 months) and provides an overall cumulative position to date.</w:t>
      </w:r>
    </w:p>
    <w:p w:rsidR="002C380F" w:rsidRDefault="002C380F">
      <w:pPr>
        <w:rPr>
          <w:rFonts w:ascii="Arial" w:hAnsi="Arial" w:cs="Arial"/>
          <w:b/>
          <w:sz w:val="16"/>
          <w:szCs w:val="16"/>
        </w:rPr>
      </w:pPr>
      <w:r>
        <w:rPr>
          <w:rFonts w:cs="Arial"/>
          <w:b/>
          <w:sz w:val="16"/>
          <w:szCs w:val="16"/>
        </w:rPr>
        <w:br w:type="page"/>
      </w:r>
    </w:p>
    <w:p w:rsidR="006B2F10" w:rsidRDefault="006B2F10" w:rsidP="006B2F10">
      <w:pPr>
        <w:pStyle w:val="NoSpacing"/>
        <w:jc w:val="both"/>
        <w:rPr>
          <w:rFonts w:cs="Arial"/>
          <w:b/>
          <w:sz w:val="16"/>
          <w:szCs w:val="16"/>
        </w:rPr>
      </w:pPr>
    </w:p>
    <w:p w:rsidR="006B2F10" w:rsidRPr="00BE7E29" w:rsidRDefault="006B2F10" w:rsidP="006B2F10">
      <w:pPr>
        <w:pStyle w:val="NoSpacing"/>
        <w:jc w:val="both"/>
        <w:rPr>
          <w:rFonts w:cs="Arial"/>
          <w:b/>
          <w:sz w:val="18"/>
          <w:szCs w:val="18"/>
        </w:rPr>
      </w:pPr>
      <w:r w:rsidRPr="00BE7E29">
        <w:rPr>
          <w:rFonts w:cs="Arial"/>
          <w:b/>
          <w:sz w:val="18"/>
          <w:szCs w:val="18"/>
        </w:rPr>
        <w:t>Table 1</w:t>
      </w:r>
    </w:p>
    <w:tbl>
      <w:tblPr>
        <w:tblStyle w:val="TableGrid"/>
        <w:tblW w:w="11199" w:type="dxa"/>
        <w:tblInd w:w="-1139" w:type="dxa"/>
        <w:tblLayout w:type="fixed"/>
        <w:tblLook w:val="04A0" w:firstRow="1" w:lastRow="0" w:firstColumn="1" w:lastColumn="0" w:noHBand="0" w:noVBand="1"/>
      </w:tblPr>
      <w:tblGrid>
        <w:gridCol w:w="3119"/>
        <w:gridCol w:w="1701"/>
        <w:gridCol w:w="1701"/>
        <w:gridCol w:w="1276"/>
        <w:gridCol w:w="1842"/>
        <w:gridCol w:w="1560"/>
      </w:tblGrid>
      <w:tr w:rsidR="006B2F10" w:rsidTr="002C380F">
        <w:tc>
          <w:tcPr>
            <w:tcW w:w="3119" w:type="dxa"/>
          </w:tcPr>
          <w:p w:rsidR="006B2F10" w:rsidRDefault="006B2F10" w:rsidP="002C380F">
            <w:pPr>
              <w:jc w:val="center"/>
              <w:rPr>
                <w:b/>
              </w:rPr>
            </w:pPr>
            <w:r>
              <w:rPr>
                <w:b/>
              </w:rPr>
              <w:t>Outputs – 2016/17</w:t>
            </w:r>
          </w:p>
        </w:tc>
        <w:tc>
          <w:tcPr>
            <w:tcW w:w="1701" w:type="dxa"/>
          </w:tcPr>
          <w:p w:rsidR="006B2F10" w:rsidRDefault="006B2F10" w:rsidP="002C380F">
            <w:pPr>
              <w:jc w:val="center"/>
              <w:rPr>
                <w:b/>
              </w:rPr>
            </w:pPr>
            <w:r>
              <w:rPr>
                <w:b/>
              </w:rPr>
              <w:t>6 month Trajectory</w:t>
            </w:r>
          </w:p>
        </w:tc>
        <w:tc>
          <w:tcPr>
            <w:tcW w:w="1701" w:type="dxa"/>
          </w:tcPr>
          <w:p w:rsidR="006B2F10" w:rsidRDefault="006B2F10" w:rsidP="002C380F">
            <w:pPr>
              <w:jc w:val="center"/>
              <w:rPr>
                <w:b/>
              </w:rPr>
            </w:pPr>
            <w:r>
              <w:rPr>
                <w:b/>
              </w:rPr>
              <w:t>6 month Actual</w:t>
            </w:r>
          </w:p>
        </w:tc>
        <w:tc>
          <w:tcPr>
            <w:tcW w:w="1276" w:type="dxa"/>
          </w:tcPr>
          <w:p w:rsidR="006B2F10" w:rsidRDefault="006B2F10" w:rsidP="002C380F">
            <w:pPr>
              <w:jc w:val="center"/>
              <w:rPr>
                <w:b/>
              </w:rPr>
            </w:pPr>
            <w:r>
              <w:rPr>
                <w:b/>
              </w:rPr>
              <w:t>Variance</w:t>
            </w:r>
          </w:p>
        </w:tc>
        <w:tc>
          <w:tcPr>
            <w:tcW w:w="1842" w:type="dxa"/>
          </w:tcPr>
          <w:p w:rsidR="006B2F10" w:rsidRDefault="006B2F10" w:rsidP="002C380F">
            <w:pPr>
              <w:jc w:val="center"/>
              <w:rPr>
                <w:b/>
              </w:rPr>
            </w:pPr>
            <w:r>
              <w:rPr>
                <w:b/>
              </w:rPr>
              <w:t>All Years Cumulative Actual</w:t>
            </w:r>
          </w:p>
        </w:tc>
        <w:tc>
          <w:tcPr>
            <w:tcW w:w="1560" w:type="dxa"/>
          </w:tcPr>
          <w:p w:rsidR="006B2F10" w:rsidRDefault="006B2F10" w:rsidP="002C380F">
            <w:pPr>
              <w:jc w:val="center"/>
              <w:rPr>
                <w:b/>
              </w:rPr>
            </w:pPr>
            <w:r>
              <w:rPr>
                <w:b/>
              </w:rPr>
              <w:t>All Years Cumulative Variance</w:t>
            </w:r>
          </w:p>
        </w:tc>
      </w:tr>
      <w:tr w:rsidR="006B2F10" w:rsidTr="002C380F">
        <w:tc>
          <w:tcPr>
            <w:tcW w:w="3119" w:type="dxa"/>
          </w:tcPr>
          <w:p w:rsidR="006B2F10" w:rsidRDefault="006B2F10" w:rsidP="002C380F">
            <w:pPr>
              <w:jc w:val="both"/>
            </w:pPr>
            <w:r w:rsidRPr="005D3D7A">
              <w:t>Total nu</w:t>
            </w:r>
            <w:r>
              <w:t>mber of Housing units completed*</w:t>
            </w:r>
          </w:p>
          <w:p w:rsidR="006B2F10" w:rsidRPr="005D3D7A" w:rsidRDefault="006B2F10" w:rsidP="002C380F">
            <w:pPr>
              <w:jc w:val="both"/>
            </w:pPr>
          </w:p>
        </w:tc>
        <w:tc>
          <w:tcPr>
            <w:tcW w:w="1701" w:type="dxa"/>
          </w:tcPr>
          <w:p w:rsidR="006B2F10" w:rsidRPr="00D52B48" w:rsidRDefault="006B2F10" w:rsidP="002C380F">
            <w:pPr>
              <w:jc w:val="center"/>
            </w:pPr>
            <w:r>
              <w:t>396</w:t>
            </w:r>
          </w:p>
        </w:tc>
        <w:tc>
          <w:tcPr>
            <w:tcW w:w="1701" w:type="dxa"/>
          </w:tcPr>
          <w:p w:rsidR="006B2F10" w:rsidRPr="00D52B48" w:rsidRDefault="006B2F10" w:rsidP="002C380F">
            <w:pPr>
              <w:jc w:val="center"/>
            </w:pPr>
            <w:r>
              <w:t>366</w:t>
            </w:r>
          </w:p>
        </w:tc>
        <w:tc>
          <w:tcPr>
            <w:tcW w:w="1276" w:type="dxa"/>
          </w:tcPr>
          <w:p w:rsidR="006B2F10" w:rsidRPr="00D52B48" w:rsidRDefault="006B2F10" w:rsidP="002C380F">
            <w:pPr>
              <w:tabs>
                <w:tab w:val="left" w:pos="885"/>
              </w:tabs>
              <w:jc w:val="center"/>
            </w:pPr>
            <w:r>
              <w:t>-30</w:t>
            </w:r>
          </w:p>
        </w:tc>
        <w:tc>
          <w:tcPr>
            <w:tcW w:w="1842" w:type="dxa"/>
          </w:tcPr>
          <w:p w:rsidR="006B2F10" w:rsidRDefault="006B2F10" w:rsidP="002C380F">
            <w:pPr>
              <w:jc w:val="center"/>
            </w:pPr>
            <w:r>
              <w:t>1,965</w:t>
            </w:r>
          </w:p>
        </w:tc>
        <w:tc>
          <w:tcPr>
            <w:tcW w:w="1560" w:type="dxa"/>
          </w:tcPr>
          <w:p w:rsidR="006B2F10" w:rsidRPr="00D52B48" w:rsidRDefault="006B2F10" w:rsidP="002C380F">
            <w:pPr>
              <w:jc w:val="center"/>
            </w:pPr>
            <w:r>
              <w:t>+345</w:t>
            </w:r>
          </w:p>
        </w:tc>
      </w:tr>
      <w:tr w:rsidR="006B2F10" w:rsidTr="002C380F">
        <w:tc>
          <w:tcPr>
            <w:tcW w:w="3119" w:type="dxa"/>
          </w:tcPr>
          <w:p w:rsidR="006B2F10" w:rsidRDefault="006B2F10" w:rsidP="002C380F">
            <w:pPr>
              <w:jc w:val="both"/>
            </w:pPr>
            <w:r w:rsidRPr="005D3D7A">
              <w:t xml:space="preserve">Total </w:t>
            </w:r>
            <w:r>
              <w:t>number of Housing units consented for planning</w:t>
            </w:r>
          </w:p>
          <w:p w:rsidR="006B2F10" w:rsidRPr="005D3D7A" w:rsidRDefault="006B2F10" w:rsidP="002C380F">
            <w:pPr>
              <w:jc w:val="both"/>
            </w:pPr>
          </w:p>
        </w:tc>
        <w:tc>
          <w:tcPr>
            <w:tcW w:w="1701" w:type="dxa"/>
          </w:tcPr>
          <w:p w:rsidR="006B2F10" w:rsidRDefault="006B2F10" w:rsidP="002C380F">
            <w:r>
              <w:t>Outline – 200</w:t>
            </w:r>
          </w:p>
          <w:p w:rsidR="006B2F10" w:rsidRDefault="006B2F10" w:rsidP="002C380F">
            <w:r>
              <w:t>Reserved – 312</w:t>
            </w:r>
          </w:p>
          <w:p w:rsidR="006B2F10" w:rsidRPr="00D52B48" w:rsidRDefault="006B2F10" w:rsidP="002C380F">
            <w:r>
              <w:t>Full - 48</w:t>
            </w:r>
          </w:p>
        </w:tc>
        <w:tc>
          <w:tcPr>
            <w:tcW w:w="1701" w:type="dxa"/>
          </w:tcPr>
          <w:p w:rsidR="006B2F10" w:rsidRDefault="006B2F10" w:rsidP="002C380F">
            <w:r>
              <w:t>Outline – 200</w:t>
            </w:r>
          </w:p>
          <w:p w:rsidR="006B2F10" w:rsidRDefault="006B2F10" w:rsidP="002C380F">
            <w:r>
              <w:t>Reserved – 312</w:t>
            </w:r>
          </w:p>
          <w:p w:rsidR="006B2F10" w:rsidRPr="00D52B48" w:rsidRDefault="006B2F10" w:rsidP="002C380F">
            <w:r>
              <w:t>Full - 48</w:t>
            </w:r>
          </w:p>
        </w:tc>
        <w:tc>
          <w:tcPr>
            <w:tcW w:w="1276" w:type="dxa"/>
          </w:tcPr>
          <w:p w:rsidR="006B2F10" w:rsidRPr="00D52B48" w:rsidRDefault="006B2F10" w:rsidP="002C380F">
            <w:pPr>
              <w:jc w:val="center"/>
            </w:pPr>
            <w:r>
              <w:t>0</w:t>
            </w:r>
          </w:p>
        </w:tc>
        <w:tc>
          <w:tcPr>
            <w:tcW w:w="1842" w:type="dxa"/>
            <w:shd w:val="clear" w:color="auto" w:fill="auto"/>
          </w:tcPr>
          <w:p w:rsidR="006B2F10" w:rsidRDefault="006B2F10" w:rsidP="002C380F">
            <w:r w:rsidRPr="00A17CC3">
              <w:t>Outline – 7403</w:t>
            </w:r>
          </w:p>
          <w:p w:rsidR="006B2F10" w:rsidRDefault="006B2F10" w:rsidP="002C380F">
            <w:r>
              <w:t>Reserved – 3335</w:t>
            </w:r>
          </w:p>
          <w:p w:rsidR="006B2F10" w:rsidRPr="0055079F" w:rsidRDefault="006B2F10" w:rsidP="002C380F">
            <w:r>
              <w:t>Full - 1710</w:t>
            </w:r>
          </w:p>
        </w:tc>
        <w:tc>
          <w:tcPr>
            <w:tcW w:w="1560" w:type="dxa"/>
          </w:tcPr>
          <w:p w:rsidR="006B2F10" w:rsidRPr="00D52B48" w:rsidRDefault="006B2F10" w:rsidP="002C380F">
            <w:pPr>
              <w:jc w:val="center"/>
            </w:pPr>
            <w:r>
              <w:t>-</w:t>
            </w:r>
          </w:p>
        </w:tc>
      </w:tr>
      <w:tr w:rsidR="006B2F10" w:rsidRPr="00770063" w:rsidTr="002C380F">
        <w:tc>
          <w:tcPr>
            <w:tcW w:w="3119" w:type="dxa"/>
          </w:tcPr>
          <w:p w:rsidR="006B2F10" w:rsidRPr="005D3D7A" w:rsidRDefault="006B2F10" w:rsidP="002C380F">
            <w:pPr>
              <w:jc w:val="both"/>
            </w:pPr>
            <w:r>
              <w:t>Total number of Housing units submitted for planning</w:t>
            </w:r>
          </w:p>
        </w:tc>
        <w:tc>
          <w:tcPr>
            <w:tcW w:w="1701" w:type="dxa"/>
          </w:tcPr>
          <w:p w:rsidR="006B2F10" w:rsidRDefault="006B2F10" w:rsidP="002C380F">
            <w:r>
              <w:t>Outline – 600</w:t>
            </w:r>
          </w:p>
          <w:p w:rsidR="006B2F10" w:rsidRDefault="006B2F10" w:rsidP="002C380F">
            <w:r>
              <w:t>Reserved – 410</w:t>
            </w:r>
          </w:p>
          <w:p w:rsidR="006B2F10" w:rsidRPr="00770063" w:rsidRDefault="006B2F10" w:rsidP="002C380F">
            <w:r>
              <w:t>Full - 2</w:t>
            </w:r>
          </w:p>
        </w:tc>
        <w:tc>
          <w:tcPr>
            <w:tcW w:w="1701" w:type="dxa"/>
          </w:tcPr>
          <w:p w:rsidR="006B2F10" w:rsidRDefault="006B2F10" w:rsidP="002C380F">
            <w:r>
              <w:t>Outline – 600</w:t>
            </w:r>
          </w:p>
          <w:p w:rsidR="006B2F10" w:rsidRDefault="006B2F10" w:rsidP="002C380F">
            <w:r>
              <w:t>Reserved – 410</w:t>
            </w:r>
          </w:p>
          <w:p w:rsidR="006B2F10" w:rsidRPr="00770063" w:rsidRDefault="006B2F10" w:rsidP="002C380F">
            <w:r>
              <w:t>Full - 2</w:t>
            </w:r>
          </w:p>
        </w:tc>
        <w:tc>
          <w:tcPr>
            <w:tcW w:w="1276" w:type="dxa"/>
          </w:tcPr>
          <w:p w:rsidR="006B2F10" w:rsidRPr="00770063" w:rsidRDefault="006B2F10" w:rsidP="002C380F">
            <w:pPr>
              <w:jc w:val="center"/>
            </w:pPr>
            <w:r>
              <w:t>0</w:t>
            </w:r>
          </w:p>
        </w:tc>
        <w:tc>
          <w:tcPr>
            <w:tcW w:w="1842" w:type="dxa"/>
            <w:shd w:val="clear" w:color="auto" w:fill="auto"/>
          </w:tcPr>
          <w:p w:rsidR="006B2F10" w:rsidRDefault="006B2F10" w:rsidP="002C380F">
            <w:r>
              <w:t>Outline – 7787</w:t>
            </w:r>
          </w:p>
          <w:p w:rsidR="006B2F10" w:rsidRDefault="006B2F10" w:rsidP="002C380F">
            <w:r>
              <w:t>Reserved – 3893</w:t>
            </w:r>
          </w:p>
          <w:p w:rsidR="006B2F10" w:rsidRDefault="006B2F10" w:rsidP="002C380F">
            <w:r>
              <w:t>Full - 2004</w:t>
            </w:r>
          </w:p>
        </w:tc>
        <w:tc>
          <w:tcPr>
            <w:tcW w:w="1560" w:type="dxa"/>
          </w:tcPr>
          <w:p w:rsidR="006B2F10" w:rsidRPr="00770063" w:rsidRDefault="006B2F10" w:rsidP="002C380F">
            <w:pPr>
              <w:jc w:val="center"/>
            </w:pPr>
            <w:r>
              <w:t>-</w:t>
            </w:r>
          </w:p>
        </w:tc>
      </w:tr>
      <w:tr w:rsidR="006B2F10" w:rsidRPr="00B60404" w:rsidTr="002C380F">
        <w:tc>
          <w:tcPr>
            <w:tcW w:w="3119" w:type="dxa"/>
          </w:tcPr>
          <w:p w:rsidR="006B2F10" w:rsidRDefault="006B2F10" w:rsidP="002C380F">
            <w:pPr>
              <w:jc w:val="both"/>
            </w:pPr>
            <w:r>
              <w:t>Number of HCA sites submitted for planning permission</w:t>
            </w:r>
          </w:p>
        </w:tc>
        <w:tc>
          <w:tcPr>
            <w:tcW w:w="1701" w:type="dxa"/>
          </w:tcPr>
          <w:p w:rsidR="006B2F10" w:rsidRDefault="006B2F10" w:rsidP="002C380F">
            <w:pPr>
              <w:jc w:val="center"/>
            </w:pPr>
            <w:r>
              <w:t>2</w:t>
            </w:r>
          </w:p>
          <w:p w:rsidR="006B2F10" w:rsidRDefault="006B2F10" w:rsidP="002C380F">
            <w:pPr>
              <w:jc w:val="center"/>
            </w:pPr>
          </w:p>
        </w:tc>
        <w:tc>
          <w:tcPr>
            <w:tcW w:w="1701" w:type="dxa"/>
            <w:shd w:val="clear" w:color="auto" w:fill="auto"/>
          </w:tcPr>
          <w:p w:rsidR="006B2F10" w:rsidRDefault="006B2F10" w:rsidP="002C380F">
            <w:pPr>
              <w:jc w:val="center"/>
            </w:pPr>
            <w:r>
              <w:t>2</w:t>
            </w:r>
          </w:p>
          <w:p w:rsidR="006B2F10" w:rsidRDefault="006B2F10" w:rsidP="002C380F">
            <w:pPr>
              <w:jc w:val="center"/>
            </w:pPr>
          </w:p>
        </w:tc>
        <w:tc>
          <w:tcPr>
            <w:tcW w:w="1276" w:type="dxa"/>
          </w:tcPr>
          <w:p w:rsidR="006B2F10" w:rsidRPr="00770063" w:rsidRDefault="006B2F10" w:rsidP="002C380F">
            <w:pPr>
              <w:jc w:val="center"/>
            </w:pPr>
            <w:r>
              <w:t>0</w:t>
            </w:r>
          </w:p>
        </w:tc>
        <w:tc>
          <w:tcPr>
            <w:tcW w:w="1842" w:type="dxa"/>
            <w:shd w:val="clear" w:color="auto" w:fill="auto"/>
          </w:tcPr>
          <w:p w:rsidR="006B2F10" w:rsidRPr="007E5C6B" w:rsidRDefault="006B2F10" w:rsidP="002C380F">
            <w:pPr>
              <w:jc w:val="center"/>
            </w:pPr>
            <w:r>
              <w:t>13</w:t>
            </w:r>
          </w:p>
          <w:p w:rsidR="006B2F10" w:rsidRPr="00B60404" w:rsidRDefault="006B2F10" w:rsidP="002C380F">
            <w:pPr>
              <w:jc w:val="center"/>
              <w:rPr>
                <w:b/>
              </w:rPr>
            </w:pPr>
          </w:p>
        </w:tc>
        <w:tc>
          <w:tcPr>
            <w:tcW w:w="1560" w:type="dxa"/>
            <w:shd w:val="clear" w:color="auto" w:fill="auto"/>
          </w:tcPr>
          <w:p w:rsidR="006B2F10" w:rsidRPr="007E5C6B" w:rsidRDefault="006B2F10" w:rsidP="002C380F">
            <w:pPr>
              <w:jc w:val="center"/>
            </w:pPr>
            <w:r w:rsidRPr="007E5C6B">
              <w:t>0</w:t>
            </w:r>
          </w:p>
        </w:tc>
      </w:tr>
      <w:tr w:rsidR="006B2F10" w:rsidRPr="00770063" w:rsidTr="002C380F">
        <w:tc>
          <w:tcPr>
            <w:tcW w:w="3119" w:type="dxa"/>
          </w:tcPr>
          <w:p w:rsidR="006B2F10" w:rsidRDefault="006B2F10" w:rsidP="002C380F">
            <w:pPr>
              <w:jc w:val="both"/>
            </w:pPr>
            <w:r>
              <w:t>Number of HCA sites granted planning permission</w:t>
            </w:r>
          </w:p>
        </w:tc>
        <w:tc>
          <w:tcPr>
            <w:tcW w:w="1701" w:type="dxa"/>
          </w:tcPr>
          <w:p w:rsidR="006B2F10" w:rsidRDefault="006B2F10" w:rsidP="002C380F">
            <w:pPr>
              <w:jc w:val="center"/>
            </w:pPr>
            <w:r>
              <w:t>2</w:t>
            </w:r>
          </w:p>
          <w:p w:rsidR="006B2F10" w:rsidRDefault="006B2F10" w:rsidP="002C380F">
            <w:pPr>
              <w:jc w:val="center"/>
            </w:pPr>
          </w:p>
        </w:tc>
        <w:tc>
          <w:tcPr>
            <w:tcW w:w="1701" w:type="dxa"/>
            <w:shd w:val="clear" w:color="auto" w:fill="auto"/>
          </w:tcPr>
          <w:p w:rsidR="006B2F10" w:rsidRDefault="006B2F10" w:rsidP="002C380F">
            <w:pPr>
              <w:jc w:val="center"/>
            </w:pPr>
            <w:r>
              <w:t>2</w:t>
            </w:r>
          </w:p>
          <w:p w:rsidR="006B2F10" w:rsidRPr="00770063" w:rsidRDefault="006B2F10" w:rsidP="002C380F">
            <w:pPr>
              <w:jc w:val="center"/>
            </w:pPr>
          </w:p>
        </w:tc>
        <w:tc>
          <w:tcPr>
            <w:tcW w:w="1276" w:type="dxa"/>
          </w:tcPr>
          <w:p w:rsidR="006B2F10" w:rsidRPr="00770063" w:rsidRDefault="006B2F10" w:rsidP="002C380F">
            <w:pPr>
              <w:jc w:val="center"/>
            </w:pPr>
            <w:r>
              <w:t>0</w:t>
            </w:r>
          </w:p>
        </w:tc>
        <w:tc>
          <w:tcPr>
            <w:tcW w:w="1842" w:type="dxa"/>
            <w:shd w:val="clear" w:color="auto" w:fill="auto"/>
          </w:tcPr>
          <w:p w:rsidR="006B2F10" w:rsidRDefault="006B2F10" w:rsidP="002C380F">
            <w:pPr>
              <w:jc w:val="center"/>
            </w:pPr>
            <w:r>
              <w:t>13</w:t>
            </w:r>
          </w:p>
          <w:p w:rsidR="006B2F10" w:rsidRPr="00770063" w:rsidRDefault="006B2F10" w:rsidP="002C380F">
            <w:pPr>
              <w:jc w:val="center"/>
            </w:pPr>
          </w:p>
        </w:tc>
        <w:tc>
          <w:tcPr>
            <w:tcW w:w="1560" w:type="dxa"/>
            <w:shd w:val="clear" w:color="auto" w:fill="auto"/>
          </w:tcPr>
          <w:p w:rsidR="006B2F10" w:rsidRPr="00770063" w:rsidRDefault="006B2F10" w:rsidP="002C380F">
            <w:pPr>
              <w:jc w:val="center"/>
            </w:pPr>
            <w:r>
              <w:t>+2</w:t>
            </w:r>
          </w:p>
        </w:tc>
      </w:tr>
      <w:tr w:rsidR="006B2F10" w:rsidRPr="00770063" w:rsidTr="002C380F">
        <w:tc>
          <w:tcPr>
            <w:tcW w:w="3119" w:type="dxa"/>
          </w:tcPr>
          <w:p w:rsidR="006B2F10" w:rsidRDefault="006B2F10" w:rsidP="002C380F">
            <w:pPr>
              <w:jc w:val="both"/>
            </w:pPr>
            <w:r w:rsidRPr="00B63DDD">
              <w:t>Number of HCA sites where construction is actively taking place  (Cumulative year on year)</w:t>
            </w:r>
          </w:p>
        </w:tc>
        <w:tc>
          <w:tcPr>
            <w:tcW w:w="1701" w:type="dxa"/>
          </w:tcPr>
          <w:p w:rsidR="006B2F10" w:rsidRDefault="006B2F10" w:rsidP="002C380F">
            <w:pPr>
              <w:jc w:val="center"/>
            </w:pPr>
            <w:r>
              <w:t>5</w:t>
            </w:r>
          </w:p>
        </w:tc>
        <w:tc>
          <w:tcPr>
            <w:tcW w:w="1701" w:type="dxa"/>
            <w:shd w:val="clear" w:color="auto" w:fill="auto"/>
          </w:tcPr>
          <w:p w:rsidR="006B2F10" w:rsidRDefault="006B2F10" w:rsidP="002C380F">
            <w:pPr>
              <w:jc w:val="center"/>
            </w:pPr>
            <w:r>
              <w:t>5</w:t>
            </w:r>
          </w:p>
        </w:tc>
        <w:tc>
          <w:tcPr>
            <w:tcW w:w="1276" w:type="dxa"/>
          </w:tcPr>
          <w:p w:rsidR="006B2F10" w:rsidRDefault="006B2F10" w:rsidP="002C380F">
            <w:pPr>
              <w:jc w:val="center"/>
            </w:pPr>
            <w:r>
              <w:t>0</w:t>
            </w:r>
          </w:p>
        </w:tc>
        <w:tc>
          <w:tcPr>
            <w:tcW w:w="1842" w:type="dxa"/>
            <w:shd w:val="clear" w:color="auto" w:fill="auto"/>
          </w:tcPr>
          <w:p w:rsidR="006B2F10" w:rsidRDefault="006B2F10" w:rsidP="002C380F">
            <w:pPr>
              <w:jc w:val="center"/>
            </w:pPr>
            <w:r>
              <w:t>5</w:t>
            </w:r>
          </w:p>
        </w:tc>
        <w:tc>
          <w:tcPr>
            <w:tcW w:w="1560" w:type="dxa"/>
            <w:shd w:val="clear" w:color="auto" w:fill="auto"/>
          </w:tcPr>
          <w:p w:rsidR="006B2F10" w:rsidRDefault="006B2F10" w:rsidP="002C380F">
            <w:pPr>
              <w:jc w:val="center"/>
            </w:pPr>
            <w:r>
              <w:t>0</w:t>
            </w:r>
          </w:p>
        </w:tc>
      </w:tr>
      <w:tr w:rsidR="006B2F10" w:rsidRPr="00770063" w:rsidTr="002C380F">
        <w:tc>
          <w:tcPr>
            <w:tcW w:w="3119" w:type="dxa"/>
          </w:tcPr>
          <w:p w:rsidR="006B2F10" w:rsidRDefault="006B2F10" w:rsidP="002C380F">
            <w:pPr>
              <w:jc w:val="both"/>
            </w:pPr>
            <w:r>
              <w:t xml:space="preserve">Total number of housing unit completions on HCA sites </w:t>
            </w:r>
          </w:p>
          <w:p w:rsidR="006B2F10" w:rsidRDefault="006B2F10" w:rsidP="002C380F">
            <w:pPr>
              <w:jc w:val="both"/>
            </w:pPr>
          </w:p>
        </w:tc>
        <w:tc>
          <w:tcPr>
            <w:tcW w:w="1701" w:type="dxa"/>
          </w:tcPr>
          <w:p w:rsidR="006B2F10" w:rsidRDefault="006B2F10" w:rsidP="002C380F">
            <w:pPr>
              <w:jc w:val="center"/>
            </w:pPr>
            <w:r>
              <w:t>35</w:t>
            </w:r>
          </w:p>
          <w:p w:rsidR="006B2F10" w:rsidRPr="00770063" w:rsidRDefault="006B2F10" w:rsidP="002C380F">
            <w:pPr>
              <w:jc w:val="center"/>
            </w:pPr>
          </w:p>
        </w:tc>
        <w:tc>
          <w:tcPr>
            <w:tcW w:w="1701" w:type="dxa"/>
            <w:shd w:val="clear" w:color="auto" w:fill="auto"/>
          </w:tcPr>
          <w:p w:rsidR="006B2F10" w:rsidRDefault="006B2F10" w:rsidP="002C380F">
            <w:pPr>
              <w:jc w:val="center"/>
            </w:pPr>
            <w:r>
              <w:t>46</w:t>
            </w:r>
          </w:p>
          <w:p w:rsidR="006B2F10" w:rsidRPr="00770063" w:rsidRDefault="006B2F10" w:rsidP="002C380F">
            <w:pPr>
              <w:jc w:val="center"/>
            </w:pPr>
          </w:p>
        </w:tc>
        <w:tc>
          <w:tcPr>
            <w:tcW w:w="1276" w:type="dxa"/>
          </w:tcPr>
          <w:p w:rsidR="006B2F10" w:rsidRDefault="006B2F10" w:rsidP="002C380F">
            <w:pPr>
              <w:jc w:val="center"/>
            </w:pPr>
            <w:r>
              <w:t xml:space="preserve">+11 </w:t>
            </w:r>
          </w:p>
        </w:tc>
        <w:tc>
          <w:tcPr>
            <w:tcW w:w="1842" w:type="dxa"/>
            <w:shd w:val="clear" w:color="auto" w:fill="auto"/>
          </w:tcPr>
          <w:p w:rsidR="006B2F10" w:rsidRPr="00770063" w:rsidRDefault="006B2F10" w:rsidP="002C380F">
            <w:pPr>
              <w:jc w:val="center"/>
            </w:pPr>
            <w:r>
              <w:t>126</w:t>
            </w:r>
          </w:p>
        </w:tc>
        <w:tc>
          <w:tcPr>
            <w:tcW w:w="1560" w:type="dxa"/>
            <w:shd w:val="clear" w:color="auto" w:fill="auto"/>
          </w:tcPr>
          <w:p w:rsidR="006B2F10" w:rsidRPr="00770063" w:rsidRDefault="006B2F10" w:rsidP="002C380F">
            <w:pPr>
              <w:jc w:val="center"/>
            </w:pPr>
            <w:r>
              <w:t>-3</w:t>
            </w:r>
          </w:p>
        </w:tc>
      </w:tr>
    </w:tbl>
    <w:p w:rsidR="006B2F10" w:rsidRDefault="006B2F10" w:rsidP="006B2F10">
      <w:pPr>
        <w:pStyle w:val="NoSpacing"/>
      </w:pPr>
      <w:r>
        <w:t>*</w:t>
      </w:r>
      <w:r w:rsidRPr="00EF4C40">
        <w:rPr>
          <w:sz w:val="20"/>
        </w:rPr>
        <w:t xml:space="preserve">Figure includes housing units where no </w:t>
      </w:r>
      <w:r>
        <w:rPr>
          <w:sz w:val="20"/>
        </w:rPr>
        <w:t>i</w:t>
      </w:r>
      <w:r w:rsidRPr="00EF4C40">
        <w:rPr>
          <w:sz w:val="20"/>
        </w:rPr>
        <w:t>ncome was generated for the purpose of paying into the IDF</w:t>
      </w:r>
      <w:r>
        <w:t>.</w:t>
      </w:r>
    </w:p>
    <w:p w:rsidR="006B2F10" w:rsidRDefault="006B2F10" w:rsidP="006B2F10">
      <w:pPr>
        <w:spacing w:after="0" w:line="240" w:lineRule="auto"/>
        <w:jc w:val="both"/>
        <w:rPr>
          <w:rFonts w:ascii="Arial" w:hAnsi="Arial" w:cs="Arial"/>
          <w:b/>
          <w:sz w:val="24"/>
          <w:szCs w:val="24"/>
        </w:rPr>
      </w:pPr>
    </w:p>
    <w:p w:rsidR="006B2F10" w:rsidRPr="002C380F" w:rsidRDefault="006B2F10" w:rsidP="002C380F">
      <w:pPr>
        <w:spacing w:after="0" w:line="240" w:lineRule="auto"/>
        <w:jc w:val="both"/>
        <w:rPr>
          <w:rFonts w:ascii="Arial" w:hAnsi="Arial" w:cs="Arial"/>
          <w:b/>
          <w:sz w:val="24"/>
          <w:szCs w:val="24"/>
        </w:rPr>
      </w:pPr>
      <w:r w:rsidRPr="002C380F">
        <w:rPr>
          <w:rFonts w:ascii="Arial" w:hAnsi="Arial" w:cs="Arial"/>
          <w:b/>
          <w:sz w:val="24"/>
          <w:szCs w:val="24"/>
        </w:rPr>
        <w:t xml:space="preserve">Housing Unit Completions </w:t>
      </w: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Overall, since the start of the Deal period, there have been</w:t>
      </w:r>
      <w:r w:rsidRPr="002C380F">
        <w:rPr>
          <w:rFonts w:ascii="Arial" w:hAnsi="Arial" w:cs="Arial"/>
          <w:color w:val="FF0000"/>
          <w:sz w:val="24"/>
          <w:szCs w:val="24"/>
        </w:rPr>
        <w:t xml:space="preserve"> </w:t>
      </w:r>
      <w:r w:rsidRPr="002C380F">
        <w:rPr>
          <w:rFonts w:ascii="Arial" w:hAnsi="Arial" w:cs="Arial"/>
          <w:sz w:val="24"/>
          <w:szCs w:val="24"/>
        </w:rPr>
        <w:t xml:space="preserve">1,965 </w:t>
      </w:r>
      <w:r w:rsidRPr="002C380F">
        <w:rPr>
          <w:rFonts w:ascii="Arial" w:hAnsi="Arial" w:cs="Arial"/>
          <w:b/>
          <w:i/>
          <w:sz w:val="24"/>
          <w:szCs w:val="24"/>
        </w:rPr>
        <w:t>housing completions</w:t>
      </w:r>
      <w:r w:rsidRPr="002C380F">
        <w:rPr>
          <w:rFonts w:ascii="Arial" w:hAnsi="Arial" w:cs="Arial"/>
          <w:sz w:val="24"/>
          <w:szCs w:val="24"/>
        </w:rPr>
        <w:t xml:space="preserve"> versus a target of 1,690.  During 2016/17 (first 6 months), 366 completions have been achieved against a forecast of 396 (92.4% of the forecast total).  </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Achievement in the first six months can be largely attributed to the number of housing completions in Preston, which amount to 326 against a trajectory of 277.  The first six months have seen particularly strong delivery in Preston, largely by volume housebuilders in the North West Preston Strategic Location and at Cottam. </w:t>
      </w:r>
    </w:p>
    <w:p w:rsidR="006B2F10" w:rsidRPr="002C380F" w:rsidRDefault="006B2F10" w:rsidP="002C380F">
      <w:pPr>
        <w:spacing w:after="0" w:line="240" w:lineRule="auto"/>
        <w:jc w:val="both"/>
        <w:rPr>
          <w:rFonts w:ascii="Arial" w:hAnsi="Arial" w:cs="Arial"/>
          <w:sz w:val="24"/>
          <w:szCs w:val="24"/>
          <w:shd w:val="clear" w:color="auto" w:fill="92D050"/>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In South </w:t>
      </w:r>
      <w:proofErr w:type="spellStart"/>
      <w:r w:rsidRPr="002C380F">
        <w:rPr>
          <w:rFonts w:ascii="Arial" w:hAnsi="Arial" w:cs="Arial"/>
          <w:sz w:val="24"/>
          <w:szCs w:val="24"/>
        </w:rPr>
        <w:t>Ribble</w:t>
      </w:r>
      <w:proofErr w:type="spellEnd"/>
      <w:r w:rsidRPr="002C380F">
        <w:rPr>
          <w:rFonts w:ascii="Arial" w:hAnsi="Arial" w:cs="Arial"/>
          <w:sz w:val="24"/>
          <w:szCs w:val="24"/>
        </w:rPr>
        <w:t xml:space="preserve">, 40 units have been completed in the first six months of 2016/17 against a trajectory of 119 units. The sites where completions have not come forward at the rate planned are </w:t>
      </w:r>
      <w:proofErr w:type="spellStart"/>
      <w:r w:rsidRPr="002C380F">
        <w:rPr>
          <w:rFonts w:ascii="Arial" w:hAnsi="Arial" w:cs="Arial"/>
          <w:sz w:val="24"/>
          <w:szCs w:val="24"/>
        </w:rPr>
        <w:t>Wheelton</w:t>
      </w:r>
      <w:proofErr w:type="spellEnd"/>
      <w:r w:rsidRPr="002C380F">
        <w:rPr>
          <w:rFonts w:ascii="Arial" w:hAnsi="Arial" w:cs="Arial"/>
          <w:sz w:val="24"/>
          <w:szCs w:val="24"/>
        </w:rPr>
        <w:t xml:space="preserve"> Lane, </w:t>
      </w:r>
      <w:proofErr w:type="spellStart"/>
      <w:r w:rsidRPr="002C380F">
        <w:rPr>
          <w:rFonts w:ascii="Arial" w:hAnsi="Arial" w:cs="Arial"/>
          <w:sz w:val="24"/>
          <w:szCs w:val="24"/>
        </w:rPr>
        <w:t>Arla</w:t>
      </w:r>
      <w:proofErr w:type="spellEnd"/>
      <w:r w:rsidRPr="002C380F">
        <w:rPr>
          <w:rFonts w:ascii="Arial" w:hAnsi="Arial" w:cs="Arial"/>
          <w:sz w:val="24"/>
          <w:szCs w:val="24"/>
        </w:rPr>
        <w:t xml:space="preserve"> Dairy and a range of smaller sites. Developers are thought to be regulating the flow of development so as not to flood the market, in a bid to secure house sales at the desired rate and price.</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The variance between the delivery in Preston and South </w:t>
      </w:r>
      <w:proofErr w:type="spellStart"/>
      <w:r w:rsidRPr="002C380F">
        <w:rPr>
          <w:rFonts w:ascii="Arial" w:hAnsi="Arial" w:cs="Arial"/>
          <w:sz w:val="24"/>
          <w:szCs w:val="24"/>
        </w:rPr>
        <w:t>Ribble</w:t>
      </w:r>
      <w:proofErr w:type="spellEnd"/>
      <w:r w:rsidRPr="002C380F">
        <w:rPr>
          <w:rFonts w:ascii="Arial" w:hAnsi="Arial" w:cs="Arial"/>
          <w:sz w:val="24"/>
          <w:szCs w:val="24"/>
        </w:rPr>
        <w:t xml:space="preserve"> could be attributed to the fact that much of the delivery in North West Preston and at Cottam is on Greenfield land, which is easily accessible compared with South </w:t>
      </w:r>
      <w:proofErr w:type="spellStart"/>
      <w:r w:rsidRPr="002C380F">
        <w:rPr>
          <w:rFonts w:ascii="Arial" w:hAnsi="Arial" w:cs="Arial"/>
          <w:sz w:val="24"/>
          <w:szCs w:val="24"/>
        </w:rPr>
        <w:t>Ribble</w:t>
      </w:r>
      <w:proofErr w:type="spellEnd"/>
      <w:r w:rsidRPr="002C380F">
        <w:rPr>
          <w:rFonts w:ascii="Arial" w:hAnsi="Arial" w:cs="Arial"/>
          <w:sz w:val="24"/>
          <w:szCs w:val="24"/>
        </w:rPr>
        <w:t xml:space="preserve">, where there are a number of key sites that either involve the need for site works or have accessibility </w:t>
      </w:r>
      <w:r w:rsidRPr="002C380F">
        <w:rPr>
          <w:rFonts w:ascii="Arial" w:hAnsi="Arial" w:cs="Arial"/>
          <w:sz w:val="24"/>
          <w:szCs w:val="24"/>
        </w:rPr>
        <w:lastRenderedPageBreak/>
        <w:t xml:space="preserve">issues. The large amount of land with planning permission available suggests that the pool of developers operating across both South </w:t>
      </w:r>
      <w:proofErr w:type="spellStart"/>
      <w:r w:rsidRPr="002C380F">
        <w:rPr>
          <w:rFonts w:ascii="Arial" w:hAnsi="Arial" w:cs="Arial"/>
          <w:sz w:val="24"/>
          <w:szCs w:val="24"/>
        </w:rPr>
        <w:t>Ribble</w:t>
      </w:r>
      <w:proofErr w:type="spellEnd"/>
      <w:r w:rsidRPr="002C380F">
        <w:rPr>
          <w:rFonts w:ascii="Arial" w:hAnsi="Arial" w:cs="Arial"/>
          <w:sz w:val="24"/>
          <w:szCs w:val="24"/>
        </w:rPr>
        <w:t xml:space="preserve"> and Preston are picking the easier sites to develop, most of which are currently in Preston.</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b/>
          <w:sz w:val="24"/>
          <w:szCs w:val="24"/>
        </w:rPr>
      </w:pPr>
      <w:r w:rsidRPr="002C380F">
        <w:rPr>
          <w:rFonts w:ascii="Arial" w:hAnsi="Arial" w:cs="Arial"/>
          <w:b/>
          <w:sz w:val="24"/>
          <w:szCs w:val="24"/>
        </w:rPr>
        <w:t xml:space="preserve">Housing Units Submitted for Planning </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From the </w:t>
      </w:r>
      <w:r w:rsidRPr="002C380F">
        <w:rPr>
          <w:rFonts w:ascii="Arial" w:hAnsi="Arial" w:cs="Arial"/>
          <w:b/>
          <w:i/>
          <w:sz w:val="24"/>
          <w:szCs w:val="24"/>
        </w:rPr>
        <w:t>planning perspective</w:t>
      </w:r>
      <w:r w:rsidRPr="002C380F">
        <w:rPr>
          <w:rFonts w:ascii="Arial" w:hAnsi="Arial" w:cs="Arial"/>
          <w:sz w:val="24"/>
          <w:szCs w:val="24"/>
        </w:rPr>
        <w:t xml:space="preserve">, and inclusive of Year 0 (2013/14), a total of 9,791 </w:t>
      </w:r>
      <w:r w:rsidRPr="002C380F">
        <w:rPr>
          <w:rFonts w:ascii="Arial" w:hAnsi="Arial" w:cs="Arial"/>
          <w:b/>
          <w:i/>
          <w:sz w:val="24"/>
          <w:szCs w:val="24"/>
        </w:rPr>
        <w:t>housing units</w:t>
      </w:r>
      <w:r w:rsidRPr="002C380F">
        <w:rPr>
          <w:rFonts w:ascii="Arial" w:hAnsi="Arial" w:cs="Arial"/>
          <w:sz w:val="24"/>
          <w:szCs w:val="24"/>
        </w:rPr>
        <w:t xml:space="preserve"> have been </w:t>
      </w:r>
      <w:r w:rsidRPr="002C380F">
        <w:rPr>
          <w:rFonts w:ascii="Arial" w:hAnsi="Arial" w:cs="Arial"/>
          <w:b/>
          <w:i/>
          <w:sz w:val="24"/>
          <w:szCs w:val="24"/>
        </w:rPr>
        <w:t>submitted</w:t>
      </w:r>
      <w:r w:rsidRPr="002C380F">
        <w:rPr>
          <w:rFonts w:ascii="Arial" w:hAnsi="Arial" w:cs="Arial"/>
          <w:sz w:val="24"/>
          <w:szCs w:val="24"/>
        </w:rPr>
        <w:t xml:space="preserve"> for planning (including outline, reserved and full).  This is in line with the updated housing delivery programme and reflects that some of the more complex sites, such as </w:t>
      </w:r>
      <w:proofErr w:type="spellStart"/>
      <w:r w:rsidRPr="002C380F">
        <w:rPr>
          <w:rFonts w:ascii="Arial" w:hAnsi="Arial" w:cs="Arial"/>
          <w:sz w:val="24"/>
          <w:szCs w:val="24"/>
        </w:rPr>
        <w:t>Pickerings</w:t>
      </w:r>
      <w:proofErr w:type="spellEnd"/>
      <w:r w:rsidRPr="002C380F">
        <w:rPr>
          <w:rFonts w:ascii="Arial" w:hAnsi="Arial" w:cs="Arial"/>
          <w:sz w:val="24"/>
          <w:szCs w:val="24"/>
        </w:rPr>
        <w:t xml:space="preserve"> Farm, Moss Side Test Track and Croston Road, haven’t yet come forward, for a variety of reasons set out below:-</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pStyle w:val="ListParagraph"/>
        <w:numPr>
          <w:ilvl w:val="0"/>
          <w:numId w:val="7"/>
        </w:numPr>
        <w:spacing w:after="0" w:line="240" w:lineRule="auto"/>
        <w:ind w:left="360"/>
        <w:jc w:val="both"/>
        <w:rPr>
          <w:rFonts w:ascii="Arial" w:hAnsi="Arial" w:cs="Arial"/>
          <w:sz w:val="24"/>
          <w:szCs w:val="24"/>
        </w:rPr>
      </w:pPr>
      <w:r w:rsidRPr="002C380F">
        <w:rPr>
          <w:rFonts w:ascii="Arial" w:hAnsi="Arial" w:cs="Arial"/>
          <w:sz w:val="24"/>
          <w:szCs w:val="24"/>
        </w:rPr>
        <w:t>Site specific technical issues i.e. ransom strips, landowners not wishing to sell because of perceptions that they can achieve higher land values than the market can withstand.</w:t>
      </w:r>
    </w:p>
    <w:p w:rsidR="006B2F10" w:rsidRPr="002C380F" w:rsidRDefault="006B2F10" w:rsidP="002C380F">
      <w:pPr>
        <w:pStyle w:val="ListParagraph"/>
        <w:numPr>
          <w:ilvl w:val="0"/>
          <w:numId w:val="7"/>
        </w:numPr>
        <w:spacing w:after="0" w:line="240" w:lineRule="auto"/>
        <w:ind w:left="360"/>
        <w:jc w:val="both"/>
        <w:rPr>
          <w:rFonts w:ascii="Arial" w:hAnsi="Arial" w:cs="Arial"/>
          <w:sz w:val="24"/>
          <w:szCs w:val="24"/>
        </w:rPr>
      </w:pPr>
      <w:r w:rsidRPr="002C380F">
        <w:rPr>
          <w:rFonts w:ascii="Arial" w:hAnsi="Arial" w:cs="Arial"/>
          <w:sz w:val="24"/>
          <w:szCs w:val="24"/>
        </w:rPr>
        <w:t>Uncertainty over ‘Starter Homes’, prolonged by the delay by Government in introducing secondary legislation which will provide clarity</w:t>
      </w:r>
    </w:p>
    <w:p w:rsidR="006B2F10" w:rsidRPr="002C380F" w:rsidRDefault="006B2F10" w:rsidP="002C380F">
      <w:pPr>
        <w:pStyle w:val="ListParagraph"/>
        <w:numPr>
          <w:ilvl w:val="0"/>
          <w:numId w:val="7"/>
        </w:numPr>
        <w:spacing w:after="0" w:line="240" w:lineRule="auto"/>
        <w:ind w:left="360"/>
        <w:jc w:val="both"/>
        <w:rPr>
          <w:rFonts w:ascii="Arial" w:hAnsi="Arial" w:cs="Arial"/>
          <w:sz w:val="24"/>
          <w:szCs w:val="24"/>
        </w:rPr>
      </w:pPr>
      <w:r w:rsidRPr="002C380F">
        <w:rPr>
          <w:rFonts w:ascii="Arial" w:hAnsi="Arial" w:cs="Arial"/>
          <w:sz w:val="24"/>
          <w:szCs w:val="24"/>
        </w:rPr>
        <w:t>Implications of CIL have still not been fully understood and assessed</w:t>
      </w:r>
    </w:p>
    <w:p w:rsidR="006B2F10" w:rsidRPr="002C380F" w:rsidRDefault="006B2F10" w:rsidP="002C380F">
      <w:pPr>
        <w:spacing w:after="0" w:line="240" w:lineRule="auto"/>
        <w:ind w:left="284"/>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However, in recent months there has been a lot of intervention work undertaken to de-risk these sites and good progress is being made towards getting the sites closer to the submission of planning applications.</w:t>
      </w:r>
    </w:p>
    <w:p w:rsidR="006B2F10" w:rsidRPr="002C380F" w:rsidRDefault="006B2F10" w:rsidP="002C380F">
      <w:pPr>
        <w:spacing w:after="0" w:line="240" w:lineRule="auto"/>
        <w:ind w:left="284"/>
        <w:jc w:val="both"/>
        <w:rPr>
          <w:rFonts w:ascii="Arial" w:hAnsi="Arial" w:cs="Arial"/>
          <w:color w:val="4F81BD" w:themeColor="accent1"/>
          <w:sz w:val="24"/>
          <w:szCs w:val="24"/>
        </w:rPr>
      </w:pPr>
    </w:p>
    <w:p w:rsidR="006B2F10" w:rsidRPr="002C380F" w:rsidRDefault="006B2F10" w:rsidP="002C380F">
      <w:pPr>
        <w:spacing w:after="0" w:line="240" w:lineRule="auto"/>
        <w:jc w:val="both"/>
        <w:rPr>
          <w:rFonts w:ascii="Arial" w:hAnsi="Arial" w:cs="Arial"/>
          <w:color w:val="4F81BD" w:themeColor="accent1"/>
          <w:sz w:val="24"/>
          <w:szCs w:val="24"/>
        </w:rPr>
      </w:pPr>
      <w:r w:rsidRPr="002C380F">
        <w:rPr>
          <w:rFonts w:ascii="Arial" w:hAnsi="Arial" w:cs="Arial"/>
          <w:b/>
          <w:sz w:val="24"/>
          <w:szCs w:val="24"/>
        </w:rPr>
        <w:t xml:space="preserve">Housing Units Consented  </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The total number of </w:t>
      </w:r>
      <w:r w:rsidRPr="002C380F">
        <w:rPr>
          <w:rFonts w:ascii="Arial" w:hAnsi="Arial" w:cs="Arial"/>
          <w:b/>
          <w:i/>
          <w:sz w:val="24"/>
          <w:szCs w:val="24"/>
        </w:rPr>
        <w:t xml:space="preserve">consents </w:t>
      </w:r>
      <w:r w:rsidRPr="002C380F">
        <w:rPr>
          <w:rFonts w:ascii="Arial" w:hAnsi="Arial" w:cs="Arial"/>
          <w:sz w:val="24"/>
          <w:szCs w:val="24"/>
        </w:rPr>
        <w:t xml:space="preserve">to date is 9,113 (including outline, reserved and full permissions).  This is in line with the updated housing delivery programme and provides reassurance that the partners are taking a proactive approach to consenting new development across the City Deal area.  </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b/>
          <w:sz w:val="24"/>
          <w:szCs w:val="24"/>
        </w:rPr>
      </w:pPr>
      <w:r w:rsidRPr="002C380F">
        <w:rPr>
          <w:rFonts w:ascii="Arial" w:hAnsi="Arial" w:cs="Arial"/>
          <w:b/>
          <w:sz w:val="24"/>
          <w:szCs w:val="24"/>
        </w:rPr>
        <w:t xml:space="preserve">Housing Site by Site Delivery </w:t>
      </w:r>
      <w:r w:rsidR="002C380F" w:rsidRPr="002C380F">
        <w:rPr>
          <w:rFonts w:ascii="Arial" w:hAnsi="Arial" w:cs="Arial"/>
          <w:b/>
          <w:sz w:val="24"/>
          <w:szCs w:val="24"/>
        </w:rPr>
        <w:t>(A</w:t>
      </w:r>
      <w:r w:rsidRPr="002C380F">
        <w:rPr>
          <w:rFonts w:ascii="Arial" w:hAnsi="Arial" w:cs="Arial"/>
          <w:b/>
          <w:sz w:val="24"/>
          <w:szCs w:val="24"/>
        </w:rPr>
        <w:t>ppendix A)</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To support the metrics above, a site by site analysis has been undertaken across the full range of City Deal sites (see appendix).  The intention is to develop a full picture of the progress of each site at both the pre and post construction phases.  It also informs the updated finance model in terms of when the various income streams e.g. developer contributions, are likely to be paid into the IDF. </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color w:val="4F81BD" w:themeColor="accent1"/>
          <w:sz w:val="24"/>
          <w:szCs w:val="24"/>
        </w:rPr>
      </w:pPr>
      <w:r w:rsidRPr="002C380F">
        <w:rPr>
          <w:rFonts w:ascii="Arial" w:hAnsi="Arial" w:cs="Arial"/>
          <w:sz w:val="24"/>
          <w:szCs w:val="24"/>
        </w:rPr>
        <w:t>The information in the appendix tells us that:-</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Of the 79 housing sites (excluding unnamed sites), 20 are under construction and 14 are progressing well.  A further 6 are under construction but build out rates are currently slower than anticipated and are being monitored accordingly (ragged amber in the appendix).</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Of the remaining 59 housing sites, 15 have pre-construction milestones in the current year and are progressing well.  </w:t>
      </w:r>
    </w:p>
    <w:p w:rsidR="006B2F10" w:rsidRPr="002C380F" w:rsidRDefault="006B2F10" w:rsidP="002C380F">
      <w:pPr>
        <w:spacing w:after="0" w:line="240" w:lineRule="auto"/>
        <w:jc w:val="both"/>
        <w:rPr>
          <w:rFonts w:ascii="Arial" w:hAnsi="Arial" w:cs="Arial"/>
          <w:sz w:val="24"/>
          <w:szCs w:val="24"/>
        </w:rPr>
      </w:pPr>
    </w:p>
    <w:p w:rsidR="006B2F10" w:rsidRDefault="006B2F10" w:rsidP="002C380F">
      <w:pPr>
        <w:autoSpaceDE w:val="0"/>
        <w:autoSpaceDN w:val="0"/>
        <w:spacing w:after="0" w:line="240" w:lineRule="auto"/>
        <w:jc w:val="both"/>
        <w:rPr>
          <w:rFonts w:ascii="Arial" w:hAnsi="Arial" w:cs="Arial"/>
          <w:sz w:val="24"/>
          <w:szCs w:val="24"/>
        </w:rPr>
      </w:pPr>
      <w:r w:rsidRPr="002C380F">
        <w:rPr>
          <w:rFonts w:ascii="Arial" w:hAnsi="Arial" w:cs="Arial"/>
          <w:sz w:val="24"/>
          <w:szCs w:val="24"/>
        </w:rPr>
        <w:t xml:space="preserve">In terms of the HCA sites, there have been a significant number of milestones achieved between </w:t>
      </w:r>
      <w:proofErr w:type="gramStart"/>
      <w:r w:rsidRPr="002C380F">
        <w:rPr>
          <w:rFonts w:ascii="Arial" w:hAnsi="Arial" w:cs="Arial"/>
          <w:sz w:val="24"/>
          <w:szCs w:val="24"/>
        </w:rPr>
        <w:t>April</w:t>
      </w:r>
      <w:proofErr w:type="gramEnd"/>
      <w:r w:rsidRPr="002C380F">
        <w:rPr>
          <w:rFonts w:ascii="Arial" w:hAnsi="Arial" w:cs="Arial"/>
          <w:sz w:val="24"/>
          <w:szCs w:val="24"/>
        </w:rPr>
        <w:t xml:space="preserve"> – September 2016. Some of these milestones include the formal commencement of Story Homes on Cottam Hall Phase 2, which will deliver a 283 unit scheme. Taylor Wimpey completed 24 new homes at Phase 1 at Whittingham Hospital and Barrett Homes at Cottam Hall Site K completed just over half of the 104 new homes to be delivered, with 47 sales completed by the end of July. Story Homes formally commenced on site at </w:t>
      </w:r>
      <w:proofErr w:type="spellStart"/>
      <w:r w:rsidRPr="002C380F">
        <w:rPr>
          <w:rFonts w:ascii="Arial" w:hAnsi="Arial" w:cs="Arial"/>
          <w:sz w:val="24"/>
          <w:szCs w:val="24"/>
        </w:rPr>
        <w:t>Eastway</w:t>
      </w:r>
      <w:proofErr w:type="spellEnd"/>
      <w:r w:rsidRPr="002C380F">
        <w:rPr>
          <w:rFonts w:ascii="Arial" w:hAnsi="Arial" w:cs="Arial"/>
          <w:sz w:val="24"/>
          <w:szCs w:val="24"/>
        </w:rPr>
        <w:t xml:space="preserve"> after the reserved matters application was approved. Miller Homes commenced on site at Croston Road South and outline planning permission was secured for </w:t>
      </w:r>
      <w:proofErr w:type="spellStart"/>
      <w:r w:rsidRPr="002C380F">
        <w:rPr>
          <w:rFonts w:ascii="Arial" w:hAnsi="Arial" w:cs="Arial"/>
          <w:sz w:val="24"/>
          <w:szCs w:val="24"/>
        </w:rPr>
        <w:t>Altcar</w:t>
      </w:r>
      <w:proofErr w:type="spellEnd"/>
      <w:r w:rsidRPr="002C380F">
        <w:rPr>
          <w:rFonts w:ascii="Arial" w:hAnsi="Arial" w:cs="Arial"/>
          <w:sz w:val="24"/>
          <w:szCs w:val="24"/>
        </w:rPr>
        <w:t xml:space="preserve"> Lane for 200 new homes, including 80 Starter Homes. </w:t>
      </w:r>
      <w:proofErr w:type="spellStart"/>
      <w:r w:rsidRPr="002C380F">
        <w:rPr>
          <w:rFonts w:ascii="Arial" w:hAnsi="Arial" w:cs="Arial"/>
          <w:sz w:val="24"/>
          <w:szCs w:val="24"/>
        </w:rPr>
        <w:t>Altcar</w:t>
      </w:r>
      <w:proofErr w:type="spellEnd"/>
      <w:r w:rsidRPr="002C380F">
        <w:rPr>
          <w:rFonts w:ascii="Arial" w:hAnsi="Arial" w:cs="Arial"/>
          <w:sz w:val="24"/>
          <w:szCs w:val="24"/>
        </w:rPr>
        <w:t xml:space="preserve"> Lane will be one of the first HCA sites to be delivered via Accelerated Construction.</w:t>
      </w:r>
    </w:p>
    <w:p w:rsidR="002C380F" w:rsidRPr="002C380F" w:rsidRDefault="002C380F" w:rsidP="002C380F">
      <w:pPr>
        <w:autoSpaceDE w:val="0"/>
        <w:autoSpaceDN w:val="0"/>
        <w:spacing w:after="0" w:line="240" w:lineRule="auto"/>
        <w:jc w:val="both"/>
        <w:rPr>
          <w:rFonts w:ascii="Arial" w:hAnsi="Arial" w:cs="Arial"/>
          <w:sz w:val="24"/>
          <w:szCs w:val="24"/>
        </w:rPr>
      </w:pPr>
    </w:p>
    <w:p w:rsidR="006B2F10" w:rsidRDefault="006B2F10" w:rsidP="002C380F">
      <w:pPr>
        <w:autoSpaceDE w:val="0"/>
        <w:autoSpaceDN w:val="0"/>
        <w:spacing w:after="0" w:line="240" w:lineRule="auto"/>
        <w:rPr>
          <w:rFonts w:ascii="Arial" w:hAnsi="Arial" w:cs="Arial"/>
          <w:sz w:val="24"/>
          <w:szCs w:val="24"/>
        </w:rPr>
      </w:pPr>
      <w:r w:rsidRPr="002C380F">
        <w:rPr>
          <w:rFonts w:ascii="Arial" w:hAnsi="Arial" w:cs="Arial"/>
          <w:sz w:val="24"/>
          <w:szCs w:val="24"/>
        </w:rPr>
        <w:t>Notable progress has been made with a number of other sites as follows:-</w:t>
      </w:r>
    </w:p>
    <w:p w:rsidR="002C380F" w:rsidRPr="002C380F" w:rsidRDefault="002C380F" w:rsidP="002C380F">
      <w:pPr>
        <w:autoSpaceDE w:val="0"/>
        <w:autoSpaceDN w:val="0"/>
        <w:spacing w:after="0" w:line="240" w:lineRule="auto"/>
        <w:rPr>
          <w:rFonts w:ascii="Arial" w:hAnsi="Arial" w:cs="Arial"/>
          <w:sz w:val="24"/>
          <w:szCs w:val="24"/>
        </w:rPr>
      </w:pPr>
    </w:p>
    <w:p w:rsidR="006B2F10" w:rsidRPr="002C380F" w:rsidRDefault="006B2F10" w:rsidP="002C380F">
      <w:pPr>
        <w:pStyle w:val="ListParagraph"/>
        <w:numPr>
          <w:ilvl w:val="0"/>
          <w:numId w:val="8"/>
        </w:numPr>
        <w:spacing w:after="0" w:line="240" w:lineRule="auto"/>
        <w:jc w:val="both"/>
        <w:rPr>
          <w:rFonts w:ascii="Arial" w:hAnsi="Arial" w:cs="Arial"/>
          <w:sz w:val="24"/>
          <w:szCs w:val="24"/>
        </w:rPr>
      </w:pPr>
      <w:proofErr w:type="spellStart"/>
      <w:r w:rsidRPr="002C380F">
        <w:rPr>
          <w:rFonts w:ascii="Arial" w:hAnsi="Arial" w:cs="Arial"/>
          <w:sz w:val="24"/>
          <w:szCs w:val="24"/>
        </w:rPr>
        <w:t>Pickerings</w:t>
      </w:r>
      <w:proofErr w:type="spellEnd"/>
      <w:r w:rsidRPr="002C380F">
        <w:rPr>
          <w:rFonts w:ascii="Arial" w:hAnsi="Arial" w:cs="Arial"/>
          <w:sz w:val="24"/>
          <w:szCs w:val="24"/>
        </w:rPr>
        <w:t xml:space="preserve"> Farm – Masterplan and design code expected to be completed by July 2017.</w:t>
      </w:r>
    </w:p>
    <w:p w:rsidR="006B2F10" w:rsidRPr="002C380F" w:rsidRDefault="006B2F10" w:rsidP="002C380F">
      <w:pPr>
        <w:pStyle w:val="ListParagraph"/>
        <w:numPr>
          <w:ilvl w:val="0"/>
          <w:numId w:val="8"/>
        </w:numPr>
        <w:spacing w:after="0" w:line="240" w:lineRule="auto"/>
        <w:jc w:val="both"/>
        <w:rPr>
          <w:rFonts w:ascii="Arial" w:hAnsi="Arial" w:cs="Arial"/>
          <w:sz w:val="24"/>
          <w:szCs w:val="24"/>
        </w:rPr>
      </w:pPr>
      <w:r w:rsidRPr="002C380F">
        <w:rPr>
          <w:rFonts w:ascii="Arial" w:hAnsi="Arial" w:cs="Arial"/>
          <w:sz w:val="24"/>
          <w:szCs w:val="24"/>
        </w:rPr>
        <w:t>Moss Side Test Track – Masterplan being submitted to planning committee in November 2016.</w:t>
      </w:r>
    </w:p>
    <w:p w:rsidR="006B2F10" w:rsidRPr="002C380F" w:rsidRDefault="006B2F10" w:rsidP="002C380F">
      <w:pPr>
        <w:pStyle w:val="ListParagraph"/>
        <w:numPr>
          <w:ilvl w:val="0"/>
          <w:numId w:val="8"/>
        </w:numPr>
        <w:spacing w:after="0" w:line="240" w:lineRule="auto"/>
        <w:jc w:val="both"/>
        <w:rPr>
          <w:rFonts w:ascii="Arial" w:hAnsi="Arial" w:cs="Arial"/>
          <w:sz w:val="24"/>
          <w:szCs w:val="24"/>
        </w:rPr>
      </w:pPr>
      <w:r w:rsidRPr="002C380F">
        <w:rPr>
          <w:rFonts w:ascii="Arial" w:hAnsi="Arial" w:cs="Arial"/>
          <w:sz w:val="24"/>
          <w:szCs w:val="24"/>
        </w:rPr>
        <w:t>Croston Road South (Southern Section) – Construction underway – Miller Homes.</w:t>
      </w:r>
    </w:p>
    <w:p w:rsidR="006B2F10" w:rsidRPr="002C380F" w:rsidRDefault="006B2F10" w:rsidP="002C380F">
      <w:pPr>
        <w:pStyle w:val="ListParagraph"/>
        <w:numPr>
          <w:ilvl w:val="0"/>
          <w:numId w:val="8"/>
        </w:numPr>
        <w:spacing w:after="0" w:line="240" w:lineRule="auto"/>
        <w:jc w:val="both"/>
        <w:rPr>
          <w:rFonts w:ascii="Arial" w:hAnsi="Arial" w:cs="Arial"/>
          <w:sz w:val="24"/>
          <w:szCs w:val="24"/>
        </w:rPr>
      </w:pPr>
      <w:r w:rsidRPr="002C380F">
        <w:rPr>
          <w:rFonts w:ascii="Arial" w:hAnsi="Arial" w:cs="Arial"/>
          <w:sz w:val="24"/>
          <w:szCs w:val="24"/>
        </w:rPr>
        <w:t>North West Preston - Equalisation work nearing completion and developer activity promising.</w:t>
      </w:r>
    </w:p>
    <w:p w:rsidR="006B2F10" w:rsidRPr="002C380F" w:rsidRDefault="006B2F10" w:rsidP="002C380F">
      <w:pPr>
        <w:pStyle w:val="ListParagraph"/>
        <w:numPr>
          <w:ilvl w:val="0"/>
          <w:numId w:val="8"/>
        </w:numPr>
        <w:spacing w:after="0" w:line="240" w:lineRule="auto"/>
        <w:jc w:val="both"/>
        <w:rPr>
          <w:rFonts w:ascii="Arial" w:hAnsi="Arial" w:cs="Arial"/>
          <w:sz w:val="24"/>
          <w:szCs w:val="24"/>
        </w:rPr>
      </w:pPr>
      <w:proofErr w:type="spellStart"/>
      <w:r w:rsidRPr="002C380F">
        <w:rPr>
          <w:rFonts w:ascii="Arial" w:hAnsi="Arial" w:cs="Arial"/>
          <w:sz w:val="24"/>
          <w:szCs w:val="24"/>
        </w:rPr>
        <w:t>Maxy</w:t>
      </w:r>
      <w:proofErr w:type="spellEnd"/>
      <w:r w:rsidRPr="002C380F">
        <w:rPr>
          <w:rFonts w:ascii="Arial" w:hAnsi="Arial" w:cs="Arial"/>
          <w:sz w:val="24"/>
          <w:szCs w:val="24"/>
        </w:rPr>
        <w:t xml:space="preserve"> House Farm – build out rate is faster than anticipated.</w:t>
      </w:r>
    </w:p>
    <w:p w:rsidR="006B2F10" w:rsidRPr="002C380F" w:rsidRDefault="006B2F10" w:rsidP="002C380F">
      <w:pPr>
        <w:pStyle w:val="NoSpacing"/>
        <w:rPr>
          <w:rFonts w:cs="Arial"/>
          <w:szCs w:val="24"/>
        </w:rPr>
      </w:pPr>
    </w:p>
    <w:p w:rsidR="004D7428" w:rsidRDefault="004D7428">
      <w:pPr>
        <w:rPr>
          <w:rFonts w:ascii="Arial" w:hAnsi="Arial" w:cs="Arial"/>
          <w:b/>
          <w:sz w:val="24"/>
          <w:szCs w:val="24"/>
          <w:u w:val="single"/>
        </w:rPr>
      </w:pPr>
      <w:r>
        <w:rPr>
          <w:rFonts w:cs="Arial"/>
          <w:b/>
          <w:szCs w:val="24"/>
          <w:u w:val="single"/>
        </w:rPr>
        <w:br w:type="page"/>
      </w:r>
    </w:p>
    <w:p w:rsidR="006B2F10" w:rsidRPr="002C380F" w:rsidRDefault="006B2F10" w:rsidP="002C380F">
      <w:pPr>
        <w:pStyle w:val="NoSpacing"/>
        <w:rPr>
          <w:rFonts w:cs="Arial"/>
          <w:b/>
          <w:szCs w:val="24"/>
          <w:u w:val="single"/>
        </w:rPr>
      </w:pPr>
      <w:r w:rsidRPr="002C380F">
        <w:rPr>
          <w:rFonts w:cs="Arial"/>
          <w:b/>
          <w:szCs w:val="24"/>
          <w:u w:val="single"/>
        </w:rPr>
        <w:t xml:space="preserve">SECTION B – COMMERCIAL FLOORSPACE </w:t>
      </w:r>
    </w:p>
    <w:p w:rsidR="006B2F10" w:rsidRPr="002C380F" w:rsidRDefault="006B2F10" w:rsidP="002C380F">
      <w:pPr>
        <w:pStyle w:val="NoSpacing"/>
        <w:rPr>
          <w:rFonts w:cs="Arial"/>
          <w:b/>
          <w:szCs w:val="24"/>
          <w:u w:val="single"/>
        </w:rPr>
      </w:pPr>
    </w:p>
    <w:p w:rsidR="006B2F10" w:rsidRPr="002C380F" w:rsidRDefault="006B2F10" w:rsidP="002C380F">
      <w:pPr>
        <w:pStyle w:val="NoSpacing"/>
        <w:rPr>
          <w:rFonts w:cs="Arial"/>
          <w:b/>
          <w:szCs w:val="24"/>
        </w:rPr>
      </w:pPr>
      <w:r w:rsidRPr="002C380F">
        <w:rPr>
          <w:rFonts w:cs="Arial"/>
          <w:b/>
          <w:szCs w:val="24"/>
        </w:rPr>
        <w:t>Table 2</w:t>
      </w:r>
    </w:p>
    <w:tbl>
      <w:tblPr>
        <w:tblStyle w:val="TableGrid"/>
        <w:tblW w:w="9351" w:type="dxa"/>
        <w:tblLayout w:type="fixed"/>
        <w:tblLook w:val="04A0" w:firstRow="1" w:lastRow="0" w:firstColumn="1" w:lastColumn="0" w:noHBand="0" w:noVBand="1"/>
      </w:tblPr>
      <w:tblGrid>
        <w:gridCol w:w="2547"/>
        <w:gridCol w:w="1417"/>
        <w:gridCol w:w="993"/>
        <w:gridCol w:w="1275"/>
        <w:gridCol w:w="1560"/>
        <w:gridCol w:w="1559"/>
      </w:tblGrid>
      <w:tr w:rsidR="006B2F10" w:rsidRPr="002C380F" w:rsidTr="004D7428">
        <w:tc>
          <w:tcPr>
            <w:tcW w:w="254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Outputs – 2016/17</w:t>
            </w:r>
          </w:p>
        </w:tc>
        <w:tc>
          <w:tcPr>
            <w:tcW w:w="141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Trajectory</w:t>
            </w:r>
          </w:p>
        </w:tc>
        <w:tc>
          <w:tcPr>
            <w:tcW w:w="993"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Actual</w:t>
            </w:r>
          </w:p>
        </w:tc>
        <w:tc>
          <w:tcPr>
            <w:tcW w:w="1275"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Variance</w:t>
            </w:r>
          </w:p>
        </w:tc>
        <w:tc>
          <w:tcPr>
            <w:tcW w:w="1560"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Actual</w:t>
            </w:r>
          </w:p>
        </w:tc>
        <w:tc>
          <w:tcPr>
            <w:tcW w:w="1559"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Variance</w:t>
            </w:r>
          </w:p>
        </w:tc>
      </w:tr>
      <w:tr w:rsidR="006B2F10" w:rsidRPr="002C380F" w:rsidTr="004D7428">
        <w:tc>
          <w:tcPr>
            <w:tcW w:w="2547" w:type="dxa"/>
          </w:tcPr>
          <w:p w:rsidR="006B2F10" w:rsidRPr="002C380F" w:rsidRDefault="006B2F10" w:rsidP="002C380F">
            <w:pPr>
              <w:rPr>
                <w:rFonts w:ascii="Arial" w:hAnsi="Arial" w:cs="Arial"/>
                <w:sz w:val="24"/>
                <w:szCs w:val="24"/>
              </w:rPr>
            </w:pPr>
            <w:r w:rsidRPr="002C380F">
              <w:rPr>
                <w:rFonts w:ascii="Arial" w:hAnsi="Arial" w:cs="Arial"/>
                <w:sz w:val="24"/>
                <w:szCs w:val="24"/>
              </w:rPr>
              <w:t xml:space="preserve">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consented (sq. m)</w:t>
            </w:r>
          </w:p>
          <w:p w:rsidR="006B2F10" w:rsidRPr="002C380F" w:rsidRDefault="006B2F10" w:rsidP="002C380F">
            <w:pPr>
              <w:rPr>
                <w:rFonts w:ascii="Arial" w:hAnsi="Arial" w:cs="Arial"/>
                <w:sz w:val="24"/>
                <w:szCs w:val="24"/>
              </w:rPr>
            </w:pP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1,500</w:t>
            </w:r>
          </w:p>
        </w:tc>
        <w:tc>
          <w:tcPr>
            <w:tcW w:w="993"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1,500</w:t>
            </w:r>
          </w:p>
        </w:tc>
        <w:tc>
          <w:tcPr>
            <w:tcW w:w="1275"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1560"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20,942</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-101,004</w:t>
            </w:r>
          </w:p>
        </w:tc>
      </w:tr>
      <w:tr w:rsidR="006B2F10" w:rsidRPr="002C380F" w:rsidTr="004D7428">
        <w:tc>
          <w:tcPr>
            <w:tcW w:w="2547" w:type="dxa"/>
          </w:tcPr>
          <w:p w:rsidR="006B2F10" w:rsidRPr="002C380F" w:rsidRDefault="006B2F10" w:rsidP="002C380F">
            <w:pPr>
              <w:rPr>
                <w:rFonts w:ascii="Arial" w:hAnsi="Arial" w:cs="Arial"/>
                <w:sz w:val="24"/>
                <w:szCs w:val="24"/>
              </w:rPr>
            </w:pPr>
            <w:r w:rsidRPr="002C380F">
              <w:rPr>
                <w:rFonts w:ascii="Arial" w:hAnsi="Arial" w:cs="Arial"/>
                <w:sz w:val="24"/>
                <w:szCs w:val="24"/>
              </w:rPr>
              <w:t xml:space="preserve">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completed (sq. m)</w:t>
            </w:r>
          </w:p>
          <w:p w:rsidR="006B2F10" w:rsidRPr="002C380F" w:rsidRDefault="006B2F10" w:rsidP="002C380F">
            <w:pPr>
              <w:rPr>
                <w:rFonts w:ascii="Arial" w:hAnsi="Arial" w:cs="Arial"/>
                <w:sz w:val="24"/>
                <w:szCs w:val="24"/>
              </w:rPr>
            </w:pP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29,512</w:t>
            </w:r>
          </w:p>
        </w:tc>
        <w:tc>
          <w:tcPr>
            <w:tcW w:w="993"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27,741</w:t>
            </w:r>
          </w:p>
        </w:tc>
        <w:tc>
          <w:tcPr>
            <w:tcW w:w="1275"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-1,771</w:t>
            </w:r>
          </w:p>
        </w:tc>
        <w:tc>
          <w:tcPr>
            <w:tcW w:w="1560"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34,684</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+189</w:t>
            </w:r>
          </w:p>
        </w:tc>
      </w:tr>
      <w:tr w:rsidR="006B2F10" w:rsidRPr="002C380F" w:rsidTr="004D7428">
        <w:tc>
          <w:tcPr>
            <w:tcW w:w="2547" w:type="dxa"/>
          </w:tcPr>
          <w:p w:rsidR="006B2F10" w:rsidRPr="002C380F" w:rsidRDefault="006B2F10" w:rsidP="002C380F">
            <w:pPr>
              <w:rPr>
                <w:rFonts w:ascii="Arial" w:hAnsi="Arial" w:cs="Arial"/>
                <w:sz w:val="24"/>
                <w:szCs w:val="24"/>
              </w:rPr>
            </w:pPr>
            <w:r w:rsidRPr="002C380F">
              <w:rPr>
                <w:rFonts w:ascii="Arial" w:hAnsi="Arial" w:cs="Arial"/>
                <w:sz w:val="24"/>
                <w:szCs w:val="24"/>
              </w:rPr>
              <w:t xml:space="preserve">Quantity of 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from identified and agreed Employment sites submitted for planning </w:t>
            </w: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19,021</w:t>
            </w:r>
          </w:p>
        </w:tc>
        <w:tc>
          <w:tcPr>
            <w:tcW w:w="993"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19,021</w:t>
            </w:r>
          </w:p>
        </w:tc>
        <w:tc>
          <w:tcPr>
            <w:tcW w:w="1275"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1560"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111,516</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-18,757</w:t>
            </w:r>
          </w:p>
        </w:tc>
      </w:tr>
      <w:tr w:rsidR="006B2F10" w:rsidRPr="002C380F" w:rsidTr="004D7428">
        <w:tc>
          <w:tcPr>
            <w:tcW w:w="2547" w:type="dxa"/>
          </w:tcPr>
          <w:p w:rsidR="006B2F10" w:rsidRPr="002C380F" w:rsidRDefault="006B2F10" w:rsidP="002C380F">
            <w:pPr>
              <w:jc w:val="both"/>
              <w:rPr>
                <w:rFonts w:ascii="Arial" w:hAnsi="Arial" w:cs="Arial"/>
                <w:sz w:val="24"/>
                <w:szCs w:val="24"/>
              </w:rPr>
            </w:pPr>
            <w:r w:rsidRPr="002C380F">
              <w:rPr>
                <w:rFonts w:ascii="Arial" w:hAnsi="Arial" w:cs="Arial"/>
                <w:sz w:val="24"/>
                <w:szCs w:val="24"/>
              </w:rPr>
              <w:t xml:space="preserve">Total number of new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completed on HCA sites </w:t>
            </w:r>
          </w:p>
        </w:tc>
        <w:tc>
          <w:tcPr>
            <w:tcW w:w="1417"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993"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1275"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1560"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c>
          <w:tcPr>
            <w:tcW w:w="1559"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w:t>
            </w:r>
          </w:p>
        </w:tc>
      </w:tr>
    </w:tbl>
    <w:p w:rsidR="002C380F" w:rsidRPr="002C380F" w:rsidRDefault="002C380F" w:rsidP="002C380F">
      <w:pPr>
        <w:pStyle w:val="NoSpacing"/>
        <w:rPr>
          <w:rFonts w:cs="Arial"/>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b/>
          <w:sz w:val="24"/>
          <w:szCs w:val="24"/>
        </w:rPr>
        <w:t xml:space="preserve">Commercial </w:t>
      </w:r>
      <w:proofErr w:type="spellStart"/>
      <w:r w:rsidRPr="002C380F">
        <w:rPr>
          <w:rFonts w:ascii="Arial" w:hAnsi="Arial" w:cs="Arial"/>
          <w:b/>
          <w:sz w:val="24"/>
          <w:szCs w:val="24"/>
        </w:rPr>
        <w:t>Floorspace</w:t>
      </w:r>
      <w:proofErr w:type="spellEnd"/>
      <w:r w:rsidRPr="002C380F">
        <w:rPr>
          <w:rFonts w:ascii="Arial" w:hAnsi="Arial" w:cs="Arial"/>
          <w:b/>
          <w:sz w:val="24"/>
          <w:szCs w:val="24"/>
        </w:rPr>
        <w:t xml:space="preserve"> Completions </w:t>
      </w: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For Year 3, first 6 months targets there have been 27,741 </w:t>
      </w:r>
      <w:proofErr w:type="spellStart"/>
      <w:r w:rsidRPr="002C380F">
        <w:rPr>
          <w:rFonts w:ascii="Arial" w:hAnsi="Arial" w:cs="Arial"/>
          <w:sz w:val="24"/>
          <w:szCs w:val="24"/>
        </w:rPr>
        <w:t>sq</w:t>
      </w:r>
      <w:proofErr w:type="spellEnd"/>
      <w:r w:rsidRPr="002C380F">
        <w:rPr>
          <w:rFonts w:ascii="Arial" w:hAnsi="Arial" w:cs="Arial"/>
          <w:sz w:val="24"/>
          <w:szCs w:val="24"/>
        </w:rPr>
        <w:t xml:space="preserve"> m of </w:t>
      </w:r>
      <w:r w:rsidRPr="002C380F">
        <w:rPr>
          <w:rFonts w:ascii="Arial" w:hAnsi="Arial" w:cs="Arial"/>
          <w:b/>
          <w:i/>
          <w:sz w:val="24"/>
          <w:szCs w:val="24"/>
        </w:rPr>
        <w:t xml:space="preserve">commercial </w:t>
      </w:r>
      <w:proofErr w:type="spellStart"/>
      <w:r w:rsidRPr="002C380F">
        <w:rPr>
          <w:rFonts w:ascii="Arial" w:hAnsi="Arial" w:cs="Arial"/>
          <w:b/>
          <w:i/>
          <w:sz w:val="24"/>
          <w:szCs w:val="24"/>
        </w:rPr>
        <w:t>floorspace</w:t>
      </w:r>
      <w:proofErr w:type="spellEnd"/>
      <w:r w:rsidRPr="002C380F">
        <w:rPr>
          <w:rFonts w:ascii="Arial" w:hAnsi="Arial" w:cs="Arial"/>
          <w:b/>
          <w:i/>
          <w:sz w:val="24"/>
          <w:szCs w:val="24"/>
        </w:rPr>
        <w:t xml:space="preserve"> completions</w:t>
      </w:r>
      <w:r w:rsidRPr="002C380F">
        <w:rPr>
          <w:rFonts w:ascii="Arial" w:hAnsi="Arial" w:cs="Arial"/>
          <w:sz w:val="24"/>
          <w:szCs w:val="24"/>
        </w:rPr>
        <w:t xml:space="preserve"> against a target of 29,512 </w:t>
      </w:r>
      <w:proofErr w:type="spellStart"/>
      <w:r w:rsidRPr="002C380F">
        <w:rPr>
          <w:rFonts w:ascii="Arial" w:hAnsi="Arial" w:cs="Arial"/>
          <w:sz w:val="24"/>
          <w:szCs w:val="24"/>
        </w:rPr>
        <w:t>sq</w:t>
      </w:r>
      <w:proofErr w:type="spellEnd"/>
      <w:r w:rsidRPr="002C380F">
        <w:rPr>
          <w:rFonts w:ascii="Arial" w:hAnsi="Arial" w:cs="Arial"/>
          <w:sz w:val="24"/>
          <w:szCs w:val="24"/>
        </w:rPr>
        <w:t xml:space="preserve"> m.</w:t>
      </w:r>
    </w:p>
    <w:p w:rsidR="006B2F10" w:rsidRPr="002C380F" w:rsidRDefault="006B2F10" w:rsidP="002C380F">
      <w:pPr>
        <w:spacing w:after="0" w:line="240" w:lineRule="auto"/>
        <w:ind w:left="284"/>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It should be noted that these early targets were relatively modest and generally not on strategic sites where the bulk of future outputs will be generated. Nonetheless the first phase completion at </w:t>
      </w:r>
      <w:proofErr w:type="spellStart"/>
      <w:r w:rsidRPr="002C380F">
        <w:rPr>
          <w:rFonts w:ascii="Arial" w:hAnsi="Arial" w:cs="Arial"/>
          <w:sz w:val="24"/>
          <w:szCs w:val="24"/>
        </w:rPr>
        <w:t>Samlesbury</w:t>
      </w:r>
      <w:proofErr w:type="spellEnd"/>
      <w:r w:rsidRPr="002C380F">
        <w:rPr>
          <w:rFonts w:ascii="Arial" w:hAnsi="Arial" w:cs="Arial"/>
          <w:sz w:val="24"/>
          <w:szCs w:val="24"/>
        </w:rPr>
        <w:t xml:space="preserve"> Enterprise Zone has provided a significant impetus to the completed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whilst the speculative completions at Red Scar and Momentum Business Parks have provided new 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for occupiers of small units, aimed at start-ups and smaller businesses that have proved attractive to the market. The Bluebell Way site will not come forward for development in 2016/17, but is anticipated for completion in 2017/18. </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b/>
          <w:i/>
          <w:sz w:val="24"/>
          <w:szCs w:val="24"/>
        </w:rPr>
        <w:t xml:space="preserve">Commercial </w:t>
      </w:r>
      <w:proofErr w:type="spellStart"/>
      <w:r w:rsidRPr="002C380F">
        <w:rPr>
          <w:rFonts w:ascii="Arial" w:hAnsi="Arial" w:cs="Arial"/>
          <w:b/>
          <w:i/>
          <w:sz w:val="24"/>
          <w:szCs w:val="24"/>
        </w:rPr>
        <w:t>floorspace</w:t>
      </w:r>
      <w:proofErr w:type="spellEnd"/>
      <w:r w:rsidRPr="002C380F">
        <w:rPr>
          <w:rFonts w:ascii="Arial" w:hAnsi="Arial" w:cs="Arial"/>
          <w:b/>
          <w:i/>
          <w:sz w:val="24"/>
          <w:szCs w:val="24"/>
        </w:rPr>
        <w:t xml:space="preserve"> consented</w:t>
      </w:r>
      <w:r w:rsidRPr="002C380F">
        <w:rPr>
          <w:rFonts w:ascii="Arial" w:hAnsi="Arial" w:cs="Arial"/>
          <w:sz w:val="24"/>
          <w:szCs w:val="24"/>
        </w:rPr>
        <w:t xml:space="preserve"> targets have been achieved with 1,500</w:t>
      </w:r>
      <w:r w:rsidRPr="002C380F">
        <w:rPr>
          <w:rFonts w:ascii="Arial" w:hAnsi="Arial" w:cs="Arial"/>
          <w:color w:val="FF0000"/>
          <w:sz w:val="24"/>
          <w:szCs w:val="24"/>
        </w:rPr>
        <w:t xml:space="preserve"> </w:t>
      </w:r>
      <w:proofErr w:type="spellStart"/>
      <w:r w:rsidRPr="002C380F">
        <w:rPr>
          <w:rFonts w:ascii="Arial" w:hAnsi="Arial" w:cs="Arial"/>
          <w:sz w:val="24"/>
          <w:szCs w:val="24"/>
        </w:rPr>
        <w:t>sq</w:t>
      </w:r>
      <w:proofErr w:type="spellEnd"/>
      <w:r w:rsidRPr="002C380F">
        <w:rPr>
          <w:rFonts w:ascii="Arial" w:hAnsi="Arial" w:cs="Arial"/>
          <w:sz w:val="24"/>
          <w:szCs w:val="24"/>
        </w:rPr>
        <w:t xml:space="preserve"> m of consents against a target of 1,500</w:t>
      </w:r>
      <w:r w:rsidRPr="002C380F">
        <w:rPr>
          <w:rFonts w:ascii="Arial" w:hAnsi="Arial" w:cs="Arial"/>
          <w:color w:val="FF0000"/>
          <w:sz w:val="24"/>
          <w:szCs w:val="24"/>
        </w:rPr>
        <w:t xml:space="preserve"> </w:t>
      </w:r>
      <w:proofErr w:type="spellStart"/>
      <w:r w:rsidRPr="002C380F">
        <w:rPr>
          <w:rFonts w:ascii="Arial" w:hAnsi="Arial" w:cs="Arial"/>
          <w:sz w:val="24"/>
          <w:szCs w:val="24"/>
        </w:rPr>
        <w:t>sq</w:t>
      </w:r>
      <w:proofErr w:type="spellEnd"/>
      <w:r w:rsidRPr="002C380F">
        <w:rPr>
          <w:rFonts w:ascii="Arial" w:hAnsi="Arial" w:cs="Arial"/>
          <w:sz w:val="24"/>
          <w:szCs w:val="24"/>
        </w:rPr>
        <w:t xml:space="preserve"> m.  </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Only 1 property (the Market Hall within the Markets Quarter project) was scheduled to have a planning permission consented, which has been achieved. </w:t>
      </w:r>
    </w:p>
    <w:p w:rsidR="006B2F10" w:rsidRDefault="006B2F10" w:rsidP="002C380F">
      <w:pPr>
        <w:spacing w:after="0" w:line="240" w:lineRule="auto"/>
        <w:rPr>
          <w:rFonts w:ascii="Arial" w:hAnsi="Arial" w:cs="Arial"/>
          <w:b/>
          <w:sz w:val="24"/>
          <w:szCs w:val="24"/>
        </w:rPr>
      </w:pPr>
    </w:p>
    <w:p w:rsidR="004D7428" w:rsidRDefault="004D7428" w:rsidP="002C380F">
      <w:pPr>
        <w:spacing w:after="0" w:line="240" w:lineRule="auto"/>
        <w:rPr>
          <w:rFonts w:ascii="Arial" w:hAnsi="Arial" w:cs="Arial"/>
          <w:b/>
          <w:sz w:val="24"/>
          <w:szCs w:val="24"/>
        </w:rPr>
      </w:pPr>
    </w:p>
    <w:p w:rsidR="004D7428" w:rsidRDefault="004D7428" w:rsidP="002C380F">
      <w:pPr>
        <w:spacing w:after="0" w:line="240" w:lineRule="auto"/>
        <w:rPr>
          <w:rFonts w:ascii="Arial" w:hAnsi="Arial" w:cs="Arial"/>
          <w:b/>
          <w:sz w:val="24"/>
          <w:szCs w:val="24"/>
        </w:rPr>
      </w:pPr>
    </w:p>
    <w:p w:rsidR="004D7428" w:rsidRDefault="004D7428" w:rsidP="002C380F">
      <w:pPr>
        <w:spacing w:after="0" w:line="240" w:lineRule="auto"/>
        <w:rPr>
          <w:rFonts w:ascii="Arial" w:hAnsi="Arial" w:cs="Arial"/>
          <w:b/>
          <w:sz w:val="24"/>
          <w:szCs w:val="24"/>
        </w:rPr>
      </w:pPr>
    </w:p>
    <w:p w:rsidR="004D7428" w:rsidRPr="002C380F" w:rsidRDefault="004D7428" w:rsidP="002C380F">
      <w:pPr>
        <w:spacing w:after="0" w:line="240" w:lineRule="auto"/>
        <w:rPr>
          <w:rFonts w:ascii="Arial" w:hAnsi="Arial" w:cs="Arial"/>
          <w:b/>
          <w:sz w:val="24"/>
          <w:szCs w:val="24"/>
        </w:rPr>
      </w:pPr>
    </w:p>
    <w:p w:rsidR="006B2F10" w:rsidRPr="002C380F" w:rsidRDefault="006B2F10" w:rsidP="002C380F">
      <w:pPr>
        <w:spacing w:after="0" w:line="240" w:lineRule="auto"/>
        <w:rPr>
          <w:rFonts w:ascii="Arial" w:hAnsi="Arial" w:cs="Arial"/>
          <w:b/>
          <w:sz w:val="24"/>
          <w:szCs w:val="24"/>
        </w:rPr>
      </w:pPr>
      <w:r w:rsidRPr="002C380F">
        <w:rPr>
          <w:rFonts w:ascii="Arial" w:hAnsi="Arial" w:cs="Arial"/>
          <w:b/>
          <w:sz w:val="24"/>
          <w:szCs w:val="24"/>
        </w:rPr>
        <w:t xml:space="preserve">Commercial </w:t>
      </w:r>
      <w:proofErr w:type="spellStart"/>
      <w:r w:rsidRPr="002C380F">
        <w:rPr>
          <w:rFonts w:ascii="Arial" w:hAnsi="Arial" w:cs="Arial"/>
          <w:b/>
          <w:sz w:val="24"/>
          <w:szCs w:val="24"/>
        </w:rPr>
        <w:t>floorspace</w:t>
      </w:r>
      <w:proofErr w:type="spellEnd"/>
      <w:r w:rsidRPr="002C380F">
        <w:rPr>
          <w:rFonts w:ascii="Arial" w:hAnsi="Arial" w:cs="Arial"/>
          <w:b/>
          <w:sz w:val="24"/>
          <w:szCs w:val="24"/>
        </w:rPr>
        <w:t xml:space="preserve"> submissions.</w:t>
      </w: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Due to the phasing of the employment site completions in later years of the City Deal, there has been limited plans to be submitted but all 5 projects have been submitted for planning as per schedule. </w:t>
      </w:r>
    </w:p>
    <w:p w:rsidR="006B2F10" w:rsidRPr="002C380F" w:rsidRDefault="006B2F10" w:rsidP="002C380F">
      <w:pPr>
        <w:spacing w:after="0" w:line="240" w:lineRule="auto"/>
        <w:rPr>
          <w:rFonts w:ascii="Arial" w:hAnsi="Arial" w:cs="Arial"/>
          <w:b/>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b/>
          <w:sz w:val="24"/>
          <w:szCs w:val="24"/>
        </w:rPr>
        <w:t xml:space="preserve">Commercial </w:t>
      </w:r>
      <w:proofErr w:type="spellStart"/>
      <w:r w:rsidRPr="002C380F">
        <w:rPr>
          <w:rFonts w:ascii="Arial" w:hAnsi="Arial" w:cs="Arial"/>
          <w:b/>
          <w:sz w:val="24"/>
          <w:szCs w:val="24"/>
        </w:rPr>
        <w:t>Floorspace</w:t>
      </w:r>
      <w:proofErr w:type="spellEnd"/>
      <w:r w:rsidRPr="002C380F">
        <w:rPr>
          <w:rFonts w:ascii="Arial" w:hAnsi="Arial" w:cs="Arial"/>
          <w:b/>
          <w:sz w:val="24"/>
          <w:szCs w:val="24"/>
        </w:rPr>
        <w:t xml:space="preserve"> Site by Site Delivery </w:t>
      </w:r>
      <w:r w:rsidR="002C380F">
        <w:rPr>
          <w:rFonts w:ascii="Arial" w:hAnsi="Arial" w:cs="Arial"/>
          <w:b/>
          <w:sz w:val="24"/>
          <w:szCs w:val="24"/>
        </w:rPr>
        <w:t>(A</w:t>
      </w:r>
      <w:r w:rsidRPr="002C380F">
        <w:rPr>
          <w:rFonts w:ascii="Arial" w:hAnsi="Arial" w:cs="Arial"/>
          <w:b/>
          <w:sz w:val="24"/>
          <w:szCs w:val="24"/>
        </w:rPr>
        <w:t>ppendix B)</w:t>
      </w: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A site by site analysis has also been undertake</w:t>
      </w:r>
      <w:r w:rsidR="002C380F">
        <w:rPr>
          <w:rFonts w:ascii="Arial" w:hAnsi="Arial" w:cs="Arial"/>
          <w:sz w:val="24"/>
          <w:szCs w:val="24"/>
        </w:rPr>
        <w:t>n on the commercial sites (see A</w:t>
      </w:r>
      <w:r w:rsidRPr="002C380F">
        <w:rPr>
          <w:rFonts w:ascii="Arial" w:hAnsi="Arial" w:cs="Arial"/>
          <w:sz w:val="24"/>
          <w:szCs w:val="24"/>
        </w:rPr>
        <w:t>ppendix B).  The analysis tells us that:-</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Of the 14 projects with milestones in the first 6 months of 2016/17, 13 of these achieved their targets, leaving one site, (Bluebell Way) which will now be delivered in 2017/18. </w:t>
      </w:r>
    </w:p>
    <w:p w:rsidR="006B2F10" w:rsidRPr="002C380F" w:rsidRDefault="006B2F10" w:rsidP="002C380F">
      <w:pPr>
        <w:spacing w:after="0" w:line="240" w:lineRule="auto"/>
        <w:rPr>
          <w:rFonts w:ascii="Arial" w:hAnsi="Arial" w:cs="Arial"/>
          <w:b/>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12 projects have milestones within the second half of 2016/17, of which all are on schedule to achieve these as per programmed. </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Notable progress has been made with a number of sites;</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numPr>
          <w:ilvl w:val="0"/>
          <w:numId w:val="9"/>
        </w:numPr>
        <w:spacing w:after="0" w:line="240" w:lineRule="auto"/>
        <w:contextualSpacing/>
        <w:rPr>
          <w:rFonts w:ascii="Arial" w:hAnsi="Arial" w:cs="Arial"/>
          <w:sz w:val="24"/>
          <w:szCs w:val="24"/>
        </w:rPr>
      </w:pPr>
      <w:r w:rsidRPr="002C380F">
        <w:rPr>
          <w:rFonts w:ascii="Arial" w:hAnsi="Arial" w:cs="Arial"/>
          <w:sz w:val="24"/>
          <w:szCs w:val="24"/>
        </w:rPr>
        <w:t>Cottam Brickworks Supermarket: planning application submitted</w:t>
      </w:r>
    </w:p>
    <w:p w:rsidR="006B2F10" w:rsidRPr="002C380F" w:rsidRDefault="006B2F10" w:rsidP="002C380F">
      <w:pPr>
        <w:numPr>
          <w:ilvl w:val="0"/>
          <w:numId w:val="9"/>
        </w:numPr>
        <w:spacing w:after="0" w:line="240" w:lineRule="auto"/>
        <w:contextualSpacing/>
        <w:rPr>
          <w:rFonts w:ascii="Arial" w:hAnsi="Arial" w:cs="Arial"/>
          <w:sz w:val="24"/>
          <w:szCs w:val="24"/>
        </w:rPr>
      </w:pPr>
      <w:r w:rsidRPr="002C380F">
        <w:rPr>
          <w:rFonts w:ascii="Arial" w:hAnsi="Arial" w:cs="Arial"/>
          <w:sz w:val="24"/>
          <w:szCs w:val="24"/>
        </w:rPr>
        <w:t xml:space="preserve">Bluebell Way commercial/retail development: conditional offer received </w:t>
      </w:r>
    </w:p>
    <w:p w:rsidR="006B2F10" w:rsidRPr="002C380F" w:rsidRDefault="006B2F10" w:rsidP="002C380F">
      <w:pPr>
        <w:numPr>
          <w:ilvl w:val="0"/>
          <w:numId w:val="9"/>
        </w:numPr>
        <w:spacing w:after="0" w:line="240" w:lineRule="auto"/>
        <w:contextualSpacing/>
        <w:rPr>
          <w:rFonts w:ascii="Arial" w:hAnsi="Arial" w:cs="Arial"/>
          <w:sz w:val="24"/>
          <w:szCs w:val="24"/>
        </w:rPr>
      </w:pPr>
      <w:r w:rsidRPr="002C380F">
        <w:rPr>
          <w:rFonts w:ascii="Arial" w:hAnsi="Arial" w:cs="Arial"/>
          <w:sz w:val="24"/>
          <w:szCs w:val="24"/>
        </w:rPr>
        <w:t xml:space="preserve">Glover's Court office scheme, </w:t>
      </w:r>
      <w:proofErr w:type="spellStart"/>
      <w:r w:rsidRPr="002C380F">
        <w:rPr>
          <w:rFonts w:ascii="Arial" w:hAnsi="Arial" w:cs="Arial"/>
          <w:sz w:val="24"/>
          <w:szCs w:val="24"/>
        </w:rPr>
        <w:t>Winckley</w:t>
      </w:r>
      <w:proofErr w:type="spellEnd"/>
      <w:r w:rsidRPr="002C380F">
        <w:rPr>
          <w:rFonts w:ascii="Arial" w:hAnsi="Arial" w:cs="Arial"/>
          <w:sz w:val="24"/>
          <w:szCs w:val="24"/>
        </w:rPr>
        <w:t xml:space="preserve"> Square THI Scheme: significant site progress/enquiries being handled</w:t>
      </w:r>
    </w:p>
    <w:p w:rsidR="006B2F10" w:rsidRPr="002C380F" w:rsidRDefault="006B2F10" w:rsidP="002C380F">
      <w:pPr>
        <w:numPr>
          <w:ilvl w:val="0"/>
          <w:numId w:val="9"/>
        </w:numPr>
        <w:spacing w:after="0" w:line="240" w:lineRule="auto"/>
        <w:contextualSpacing/>
        <w:rPr>
          <w:rFonts w:ascii="Arial" w:hAnsi="Arial" w:cs="Arial"/>
          <w:sz w:val="24"/>
          <w:szCs w:val="24"/>
        </w:rPr>
      </w:pPr>
      <w:proofErr w:type="spellStart"/>
      <w:r w:rsidRPr="002C380F">
        <w:rPr>
          <w:rFonts w:ascii="Arial" w:hAnsi="Arial" w:cs="Arial"/>
          <w:sz w:val="24"/>
          <w:szCs w:val="24"/>
        </w:rPr>
        <w:t>Horrockses</w:t>
      </w:r>
      <w:proofErr w:type="spellEnd"/>
      <w:r w:rsidRPr="002C380F">
        <w:rPr>
          <w:rFonts w:ascii="Arial" w:hAnsi="Arial" w:cs="Arial"/>
          <w:sz w:val="24"/>
          <w:szCs w:val="24"/>
        </w:rPr>
        <w:t>: completion of phase 1 (Aldi)</w:t>
      </w:r>
    </w:p>
    <w:p w:rsidR="006B2F10" w:rsidRPr="002C380F" w:rsidRDefault="006B2F10" w:rsidP="002C380F">
      <w:pPr>
        <w:numPr>
          <w:ilvl w:val="0"/>
          <w:numId w:val="9"/>
        </w:numPr>
        <w:spacing w:after="0" w:line="240" w:lineRule="auto"/>
        <w:contextualSpacing/>
        <w:rPr>
          <w:rFonts w:ascii="Arial" w:hAnsi="Arial" w:cs="Arial"/>
          <w:sz w:val="24"/>
          <w:szCs w:val="24"/>
        </w:rPr>
      </w:pPr>
      <w:r w:rsidRPr="002C380F">
        <w:rPr>
          <w:rFonts w:ascii="Arial" w:hAnsi="Arial" w:cs="Arial"/>
          <w:sz w:val="24"/>
          <w:szCs w:val="24"/>
        </w:rPr>
        <w:t xml:space="preserve">City Centre North: planning applications submitted for the Markets Quarter </w:t>
      </w:r>
    </w:p>
    <w:p w:rsidR="006B2F10" w:rsidRPr="002C380F" w:rsidRDefault="006B2F10" w:rsidP="002C380F">
      <w:pPr>
        <w:numPr>
          <w:ilvl w:val="0"/>
          <w:numId w:val="9"/>
        </w:numPr>
        <w:spacing w:after="0" w:line="240" w:lineRule="auto"/>
        <w:contextualSpacing/>
        <w:rPr>
          <w:rFonts w:ascii="Arial" w:hAnsi="Arial" w:cs="Arial"/>
          <w:sz w:val="24"/>
          <w:szCs w:val="24"/>
        </w:rPr>
      </w:pPr>
      <w:proofErr w:type="spellStart"/>
      <w:r w:rsidRPr="002C380F">
        <w:rPr>
          <w:rFonts w:ascii="Arial" w:hAnsi="Arial" w:cs="Arial"/>
          <w:sz w:val="24"/>
          <w:szCs w:val="24"/>
        </w:rPr>
        <w:t>UCLan</w:t>
      </w:r>
      <w:proofErr w:type="spellEnd"/>
      <w:r w:rsidRPr="002C380F">
        <w:rPr>
          <w:rFonts w:ascii="Arial" w:hAnsi="Arial" w:cs="Arial"/>
          <w:sz w:val="24"/>
          <w:szCs w:val="24"/>
        </w:rPr>
        <w:t xml:space="preserve"> Engineering Innovation Centre: planning application approved and start on site imminent</w:t>
      </w:r>
    </w:p>
    <w:p w:rsidR="002C380F" w:rsidRPr="004D7428" w:rsidRDefault="006B2F10" w:rsidP="004D7428">
      <w:pPr>
        <w:numPr>
          <w:ilvl w:val="0"/>
          <w:numId w:val="9"/>
        </w:numPr>
        <w:spacing w:after="0" w:line="240" w:lineRule="auto"/>
        <w:contextualSpacing/>
        <w:rPr>
          <w:rFonts w:ascii="Arial" w:hAnsi="Arial" w:cs="Arial"/>
          <w:sz w:val="24"/>
          <w:szCs w:val="24"/>
        </w:rPr>
      </w:pPr>
      <w:proofErr w:type="spellStart"/>
      <w:r w:rsidRPr="002C380F">
        <w:rPr>
          <w:rFonts w:ascii="Arial" w:hAnsi="Arial" w:cs="Arial"/>
          <w:sz w:val="24"/>
          <w:szCs w:val="24"/>
        </w:rPr>
        <w:t>Samlesbury</w:t>
      </w:r>
      <w:proofErr w:type="spellEnd"/>
      <w:r w:rsidRPr="002C380F">
        <w:rPr>
          <w:rFonts w:ascii="Arial" w:hAnsi="Arial" w:cs="Arial"/>
          <w:sz w:val="24"/>
          <w:szCs w:val="24"/>
        </w:rPr>
        <w:t xml:space="preserve"> Enterprise Zone: first phase logistics/training centre built</w:t>
      </w:r>
    </w:p>
    <w:p w:rsidR="006B2F10" w:rsidRPr="002C380F" w:rsidRDefault="006B2F10" w:rsidP="002C380F">
      <w:pPr>
        <w:numPr>
          <w:ilvl w:val="0"/>
          <w:numId w:val="9"/>
        </w:numPr>
        <w:spacing w:after="0" w:line="240" w:lineRule="auto"/>
        <w:contextualSpacing/>
        <w:rPr>
          <w:rFonts w:ascii="Arial" w:hAnsi="Arial" w:cs="Arial"/>
          <w:sz w:val="24"/>
          <w:szCs w:val="24"/>
        </w:rPr>
      </w:pPr>
      <w:proofErr w:type="spellStart"/>
      <w:r w:rsidRPr="002C380F">
        <w:rPr>
          <w:rFonts w:ascii="Arial" w:hAnsi="Arial" w:cs="Arial"/>
          <w:sz w:val="24"/>
          <w:szCs w:val="24"/>
        </w:rPr>
        <w:t>Cuerden</w:t>
      </w:r>
      <w:proofErr w:type="spellEnd"/>
      <w:r w:rsidRPr="002C380F">
        <w:rPr>
          <w:rFonts w:ascii="Arial" w:hAnsi="Arial" w:cs="Arial"/>
          <w:sz w:val="24"/>
          <w:szCs w:val="24"/>
        </w:rPr>
        <w:t xml:space="preserve"> Strategic Employment site: pre-application advice begun as per scheduled        </w:t>
      </w:r>
    </w:p>
    <w:p w:rsidR="006B2F10" w:rsidRPr="002C380F" w:rsidRDefault="006B2F10" w:rsidP="002C380F">
      <w:pPr>
        <w:pStyle w:val="NoSpacing"/>
        <w:rPr>
          <w:rFonts w:cs="Arial"/>
          <w:szCs w:val="24"/>
        </w:rPr>
      </w:pPr>
    </w:p>
    <w:p w:rsidR="004D7428" w:rsidRDefault="004D7428">
      <w:pPr>
        <w:rPr>
          <w:rFonts w:ascii="Arial" w:hAnsi="Arial" w:cs="Arial"/>
          <w:b/>
          <w:sz w:val="24"/>
          <w:szCs w:val="24"/>
          <w:u w:val="single"/>
        </w:rPr>
      </w:pPr>
      <w:r>
        <w:rPr>
          <w:rFonts w:ascii="Arial" w:hAnsi="Arial" w:cs="Arial"/>
          <w:b/>
          <w:sz w:val="24"/>
          <w:szCs w:val="24"/>
          <w:u w:val="single"/>
        </w:rPr>
        <w:br w:type="page"/>
      </w:r>
    </w:p>
    <w:p w:rsidR="006B2F10" w:rsidRPr="002C380F" w:rsidRDefault="006B2F10" w:rsidP="002C380F">
      <w:pPr>
        <w:spacing w:after="0" w:line="240" w:lineRule="auto"/>
        <w:ind w:left="360" w:hanging="360"/>
        <w:rPr>
          <w:rFonts w:ascii="Arial" w:hAnsi="Arial" w:cs="Arial"/>
          <w:b/>
          <w:sz w:val="24"/>
          <w:szCs w:val="24"/>
          <w:u w:val="single"/>
        </w:rPr>
      </w:pPr>
      <w:r w:rsidRPr="002C380F">
        <w:rPr>
          <w:rFonts w:ascii="Arial" w:hAnsi="Arial" w:cs="Arial"/>
          <w:b/>
          <w:sz w:val="24"/>
          <w:szCs w:val="24"/>
          <w:u w:val="single"/>
        </w:rPr>
        <w:t>SECTION C: JOBS</w:t>
      </w:r>
    </w:p>
    <w:p w:rsidR="006B2F10" w:rsidRPr="002C380F" w:rsidRDefault="006B2F10" w:rsidP="002C380F">
      <w:pPr>
        <w:spacing w:after="0" w:line="240" w:lineRule="auto"/>
        <w:ind w:left="360" w:hanging="360"/>
        <w:rPr>
          <w:rFonts w:ascii="Arial" w:hAnsi="Arial" w:cs="Arial"/>
          <w:sz w:val="24"/>
          <w:szCs w:val="24"/>
        </w:rPr>
      </w:pPr>
    </w:p>
    <w:p w:rsidR="006B2F10" w:rsidRPr="002C380F" w:rsidRDefault="006B2F10" w:rsidP="002C380F">
      <w:pPr>
        <w:spacing w:after="0" w:line="240" w:lineRule="auto"/>
        <w:ind w:left="360" w:hanging="360"/>
        <w:rPr>
          <w:rFonts w:ascii="Arial" w:hAnsi="Arial" w:cs="Arial"/>
          <w:b/>
          <w:sz w:val="24"/>
          <w:szCs w:val="24"/>
        </w:rPr>
      </w:pPr>
      <w:r w:rsidRPr="002C380F">
        <w:rPr>
          <w:rFonts w:ascii="Arial" w:hAnsi="Arial" w:cs="Arial"/>
          <w:b/>
          <w:sz w:val="24"/>
          <w:szCs w:val="24"/>
        </w:rPr>
        <w:t>Table 3</w:t>
      </w:r>
    </w:p>
    <w:tbl>
      <w:tblPr>
        <w:tblStyle w:val="TableGrid"/>
        <w:tblW w:w="9634" w:type="dxa"/>
        <w:tblLayout w:type="fixed"/>
        <w:tblLook w:val="04A0" w:firstRow="1" w:lastRow="0" w:firstColumn="1" w:lastColumn="0" w:noHBand="0" w:noVBand="1"/>
      </w:tblPr>
      <w:tblGrid>
        <w:gridCol w:w="2547"/>
        <w:gridCol w:w="1417"/>
        <w:gridCol w:w="1276"/>
        <w:gridCol w:w="1276"/>
        <w:gridCol w:w="1559"/>
        <w:gridCol w:w="1559"/>
      </w:tblGrid>
      <w:tr w:rsidR="006B2F10" w:rsidRPr="002C380F" w:rsidTr="004D7428">
        <w:tc>
          <w:tcPr>
            <w:tcW w:w="254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Outputs – 2016/17</w:t>
            </w:r>
          </w:p>
        </w:tc>
        <w:tc>
          <w:tcPr>
            <w:tcW w:w="141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Trajectory</w:t>
            </w:r>
          </w:p>
        </w:tc>
        <w:tc>
          <w:tcPr>
            <w:tcW w:w="1276"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Actual</w:t>
            </w:r>
          </w:p>
        </w:tc>
        <w:tc>
          <w:tcPr>
            <w:tcW w:w="1276"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Variance</w:t>
            </w:r>
          </w:p>
        </w:tc>
        <w:tc>
          <w:tcPr>
            <w:tcW w:w="1559"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Actual</w:t>
            </w:r>
          </w:p>
        </w:tc>
        <w:tc>
          <w:tcPr>
            <w:tcW w:w="1559"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Variance</w:t>
            </w:r>
          </w:p>
        </w:tc>
      </w:tr>
      <w:tr w:rsidR="006B2F10" w:rsidRPr="002C380F" w:rsidTr="004D7428">
        <w:tc>
          <w:tcPr>
            <w:tcW w:w="2547" w:type="dxa"/>
          </w:tcPr>
          <w:p w:rsidR="006B2F10" w:rsidRPr="002C380F" w:rsidRDefault="006B2F10" w:rsidP="004D7428">
            <w:pPr>
              <w:rPr>
                <w:rFonts w:ascii="Arial" w:hAnsi="Arial" w:cs="Arial"/>
                <w:sz w:val="24"/>
                <w:szCs w:val="24"/>
              </w:rPr>
            </w:pPr>
            <w:r w:rsidRPr="002C380F">
              <w:rPr>
                <w:rFonts w:ascii="Arial" w:hAnsi="Arial" w:cs="Arial"/>
                <w:sz w:val="24"/>
                <w:szCs w:val="24"/>
              </w:rPr>
              <w:t>Jobs accommodated</w:t>
            </w:r>
          </w:p>
          <w:p w:rsidR="006B2F10" w:rsidRPr="002C380F" w:rsidRDefault="006B2F10" w:rsidP="004D7428">
            <w:pPr>
              <w:pStyle w:val="ListParagraph"/>
              <w:numPr>
                <w:ilvl w:val="0"/>
                <w:numId w:val="6"/>
              </w:numPr>
              <w:rPr>
                <w:rFonts w:ascii="Arial" w:hAnsi="Arial" w:cs="Arial"/>
                <w:sz w:val="24"/>
                <w:szCs w:val="24"/>
              </w:rPr>
            </w:pPr>
            <w:r w:rsidRPr="002C380F">
              <w:rPr>
                <w:rFonts w:ascii="Arial" w:hAnsi="Arial" w:cs="Arial"/>
                <w:sz w:val="24"/>
                <w:szCs w:val="24"/>
              </w:rPr>
              <w:t xml:space="preserve">Via 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completions*</w:t>
            </w: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686</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645</w:t>
            </w:r>
          </w:p>
        </w:tc>
        <w:tc>
          <w:tcPr>
            <w:tcW w:w="1276"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-41</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806</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+4</w:t>
            </w:r>
          </w:p>
        </w:tc>
      </w:tr>
      <w:tr w:rsidR="006B2F10" w:rsidRPr="002C380F" w:rsidTr="004D7428">
        <w:tc>
          <w:tcPr>
            <w:tcW w:w="2547" w:type="dxa"/>
          </w:tcPr>
          <w:p w:rsidR="006B2F10" w:rsidRPr="002C380F" w:rsidRDefault="006B2F10" w:rsidP="004D7428">
            <w:pPr>
              <w:pStyle w:val="ListParagraph"/>
              <w:numPr>
                <w:ilvl w:val="0"/>
                <w:numId w:val="6"/>
              </w:numPr>
              <w:rPr>
                <w:rFonts w:ascii="Arial" w:hAnsi="Arial" w:cs="Arial"/>
                <w:sz w:val="24"/>
                <w:szCs w:val="24"/>
              </w:rPr>
            </w:pPr>
            <w:r w:rsidRPr="002C380F">
              <w:rPr>
                <w:rFonts w:ascii="Arial" w:hAnsi="Arial" w:cs="Arial"/>
                <w:sz w:val="24"/>
                <w:szCs w:val="24"/>
              </w:rPr>
              <w:t>Construction jobs connected to Capital Investment**</w:t>
            </w: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163</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200</w:t>
            </w:r>
          </w:p>
        </w:tc>
        <w:tc>
          <w:tcPr>
            <w:tcW w:w="1276"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+37</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863</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+30</w:t>
            </w:r>
          </w:p>
        </w:tc>
      </w:tr>
    </w:tbl>
    <w:p w:rsidR="006B2F10" w:rsidRPr="002C380F" w:rsidRDefault="006B2F10" w:rsidP="002C380F">
      <w:pPr>
        <w:spacing w:after="0" w:line="240" w:lineRule="auto"/>
        <w:ind w:left="360" w:hanging="360"/>
        <w:rPr>
          <w:rFonts w:ascii="Arial" w:hAnsi="Arial" w:cs="Arial"/>
          <w:sz w:val="24"/>
          <w:szCs w:val="24"/>
        </w:rPr>
      </w:pPr>
      <w:r w:rsidRPr="002C380F">
        <w:rPr>
          <w:rFonts w:ascii="Arial" w:hAnsi="Arial" w:cs="Arial"/>
          <w:sz w:val="24"/>
          <w:szCs w:val="24"/>
        </w:rPr>
        <w:t xml:space="preserve">*   Gross jobs based on an average of 43 </w:t>
      </w:r>
      <w:proofErr w:type="spellStart"/>
      <w:r w:rsidRPr="002C380F">
        <w:rPr>
          <w:rFonts w:ascii="Arial" w:hAnsi="Arial" w:cs="Arial"/>
          <w:sz w:val="24"/>
          <w:szCs w:val="24"/>
        </w:rPr>
        <w:t>sq</w:t>
      </w:r>
      <w:proofErr w:type="spellEnd"/>
      <w:r w:rsidRPr="002C380F">
        <w:rPr>
          <w:rFonts w:ascii="Arial" w:hAnsi="Arial" w:cs="Arial"/>
          <w:sz w:val="24"/>
          <w:szCs w:val="24"/>
        </w:rPr>
        <w:t xml:space="preserve"> m per job, as per CLG guidance. </w:t>
      </w:r>
    </w:p>
    <w:p w:rsidR="006B2F10" w:rsidRPr="002C380F" w:rsidRDefault="006B2F10" w:rsidP="002C380F">
      <w:pPr>
        <w:spacing w:after="0" w:line="240" w:lineRule="auto"/>
        <w:ind w:left="360" w:hanging="360"/>
        <w:rPr>
          <w:rFonts w:ascii="Arial" w:hAnsi="Arial" w:cs="Arial"/>
          <w:sz w:val="24"/>
          <w:szCs w:val="24"/>
        </w:rPr>
      </w:pPr>
      <w:r w:rsidRPr="002C380F">
        <w:rPr>
          <w:rFonts w:ascii="Arial" w:hAnsi="Arial" w:cs="Arial"/>
          <w:sz w:val="24"/>
          <w:szCs w:val="24"/>
        </w:rPr>
        <w:t xml:space="preserve">** Based on one job per £86,945 of capital investment </w:t>
      </w:r>
    </w:p>
    <w:p w:rsidR="006B2F10" w:rsidRPr="002C380F" w:rsidRDefault="006B2F10" w:rsidP="002C380F">
      <w:pPr>
        <w:pStyle w:val="NoSpacing"/>
        <w:rPr>
          <w:rFonts w:cs="Arial"/>
          <w:szCs w:val="24"/>
        </w:rPr>
      </w:pPr>
    </w:p>
    <w:p w:rsidR="006B2F10" w:rsidRPr="002C380F" w:rsidRDefault="006B2F10" w:rsidP="002C380F">
      <w:pPr>
        <w:spacing w:after="0" w:line="240" w:lineRule="auto"/>
        <w:ind w:left="284" w:hanging="426"/>
        <w:rPr>
          <w:rFonts w:ascii="Arial" w:hAnsi="Arial" w:cs="Arial"/>
          <w:b/>
          <w:sz w:val="24"/>
          <w:szCs w:val="24"/>
        </w:rPr>
      </w:pPr>
      <w:r w:rsidRPr="002C380F">
        <w:rPr>
          <w:rFonts w:ascii="Arial" w:hAnsi="Arial" w:cs="Arial"/>
          <w:b/>
          <w:sz w:val="24"/>
          <w:szCs w:val="24"/>
        </w:rPr>
        <w:t>Jobs Outputs</w:t>
      </w:r>
    </w:p>
    <w:p w:rsidR="006B2F10" w:rsidRPr="002C380F" w:rsidRDefault="006B2F10" w:rsidP="002C380F">
      <w:pPr>
        <w:spacing w:after="0" w:line="240" w:lineRule="auto"/>
        <w:ind w:left="284" w:hanging="426"/>
        <w:rPr>
          <w:rFonts w:ascii="Arial" w:hAnsi="Arial" w:cs="Arial"/>
          <w:b/>
          <w:sz w:val="24"/>
          <w:szCs w:val="24"/>
        </w:rPr>
      </w:pPr>
    </w:p>
    <w:p w:rsidR="006B2F10" w:rsidRPr="002C380F" w:rsidRDefault="006B2F10" w:rsidP="002C380F">
      <w:pPr>
        <w:spacing w:after="0" w:line="240" w:lineRule="auto"/>
        <w:ind w:left="284" w:hanging="426"/>
        <w:rPr>
          <w:rFonts w:ascii="Arial" w:hAnsi="Arial" w:cs="Arial"/>
          <w:sz w:val="24"/>
          <w:szCs w:val="24"/>
        </w:rPr>
      </w:pPr>
      <w:r w:rsidRPr="002C380F">
        <w:rPr>
          <w:rFonts w:ascii="Arial" w:hAnsi="Arial" w:cs="Arial"/>
          <w:sz w:val="24"/>
          <w:szCs w:val="24"/>
        </w:rPr>
        <w:t xml:space="preserve">Related to commercial </w:t>
      </w:r>
      <w:proofErr w:type="spellStart"/>
      <w:r w:rsidRPr="002C380F">
        <w:rPr>
          <w:rFonts w:ascii="Arial" w:hAnsi="Arial" w:cs="Arial"/>
          <w:sz w:val="24"/>
          <w:szCs w:val="24"/>
        </w:rPr>
        <w:t>floorspace</w:t>
      </w:r>
      <w:proofErr w:type="spellEnd"/>
      <w:r w:rsidRPr="002C380F">
        <w:rPr>
          <w:rFonts w:ascii="Arial" w:hAnsi="Arial" w:cs="Arial"/>
          <w:sz w:val="24"/>
          <w:szCs w:val="24"/>
        </w:rPr>
        <w:t xml:space="preserve"> outputs, jobs outputs are above the forecast</w:t>
      </w:r>
    </w:p>
    <w:p w:rsidR="006B2F10" w:rsidRPr="002C380F" w:rsidRDefault="006B2F10" w:rsidP="002C380F">
      <w:pPr>
        <w:spacing w:after="0" w:line="240" w:lineRule="auto"/>
        <w:ind w:left="-142"/>
        <w:rPr>
          <w:rFonts w:ascii="Arial" w:hAnsi="Arial" w:cs="Arial"/>
          <w:sz w:val="24"/>
          <w:szCs w:val="24"/>
        </w:rPr>
      </w:pPr>
      <w:proofErr w:type="gramStart"/>
      <w:r w:rsidRPr="002C380F">
        <w:rPr>
          <w:rFonts w:ascii="Arial" w:hAnsi="Arial" w:cs="Arial"/>
          <w:sz w:val="24"/>
          <w:szCs w:val="24"/>
        </w:rPr>
        <w:t>cumulative</w:t>
      </w:r>
      <w:proofErr w:type="gramEnd"/>
      <w:r w:rsidRPr="002C380F">
        <w:rPr>
          <w:rFonts w:ascii="Arial" w:hAnsi="Arial" w:cs="Arial"/>
          <w:sz w:val="24"/>
          <w:szCs w:val="24"/>
        </w:rPr>
        <w:t xml:space="preserve"> target up to 2016/17 and have performed well since the start of the Deal</w:t>
      </w:r>
      <w:r w:rsidR="002C380F">
        <w:rPr>
          <w:rFonts w:ascii="Arial" w:hAnsi="Arial" w:cs="Arial"/>
          <w:sz w:val="24"/>
          <w:szCs w:val="24"/>
        </w:rPr>
        <w:t xml:space="preserve"> </w:t>
      </w:r>
      <w:r w:rsidRPr="002C380F">
        <w:rPr>
          <w:rFonts w:ascii="Arial" w:hAnsi="Arial" w:cs="Arial"/>
          <w:sz w:val="24"/>
          <w:szCs w:val="24"/>
        </w:rPr>
        <w:t xml:space="preserve">with 806 being achieved against a forecast 802. </w:t>
      </w:r>
    </w:p>
    <w:p w:rsidR="006B2F10" w:rsidRPr="002C380F" w:rsidRDefault="006B2F10" w:rsidP="002C380F">
      <w:pPr>
        <w:spacing w:after="0" w:line="240" w:lineRule="auto"/>
        <w:ind w:left="284" w:hanging="426"/>
        <w:rPr>
          <w:rFonts w:ascii="Arial" w:hAnsi="Arial" w:cs="Arial"/>
          <w:sz w:val="24"/>
          <w:szCs w:val="24"/>
        </w:rPr>
      </w:pPr>
    </w:p>
    <w:p w:rsidR="006B2F10" w:rsidRPr="002C380F" w:rsidRDefault="006B2F10" w:rsidP="002C380F">
      <w:pPr>
        <w:spacing w:after="0" w:line="240" w:lineRule="auto"/>
        <w:rPr>
          <w:rFonts w:ascii="Arial" w:hAnsi="Arial" w:cs="Arial"/>
          <w:b/>
          <w:sz w:val="24"/>
          <w:szCs w:val="24"/>
          <w:u w:val="single"/>
        </w:rPr>
      </w:pPr>
      <w:r w:rsidRPr="002C380F">
        <w:rPr>
          <w:rFonts w:ascii="Arial" w:hAnsi="Arial" w:cs="Arial"/>
          <w:b/>
          <w:sz w:val="24"/>
          <w:szCs w:val="24"/>
          <w:u w:val="single"/>
        </w:rPr>
        <w:t>SECTION D – PUBLIC/PRIVATE SECTOR INVESTMENT</w:t>
      </w:r>
    </w:p>
    <w:p w:rsidR="006B2F10" w:rsidRPr="002C380F" w:rsidRDefault="006B2F10" w:rsidP="002C380F">
      <w:pPr>
        <w:spacing w:after="0" w:line="240" w:lineRule="auto"/>
        <w:rPr>
          <w:rFonts w:ascii="Arial" w:hAnsi="Arial" w:cs="Arial"/>
          <w:b/>
          <w:sz w:val="24"/>
          <w:szCs w:val="24"/>
          <w:u w:val="single"/>
        </w:rPr>
      </w:pPr>
    </w:p>
    <w:p w:rsidR="006B2F10" w:rsidRPr="002C380F" w:rsidRDefault="006B2F10" w:rsidP="002C380F">
      <w:pPr>
        <w:spacing w:after="0" w:line="240" w:lineRule="auto"/>
        <w:rPr>
          <w:rFonts w:ascii="Arial" w:hAnsi="Arial" w:cs="Arial"/>
          <w:b/>
          <w:sz w:val="24"/>
          <w:szCs w:val="24"/>
        </w:rPr>
      </w:pPr>
      <w:r w:rsidRPr="002C380F">
        <w:rPr>
          <w:rFonts w:ascii="Arial" w:hAnsi="Arial" w:cs="Arial"/>
          <w:b/>
          <w:sz w:val="24"/>
          <w:szCs w:val="24"/>
        </w:rPr>
        <w:t>Table 4</w:t>
      </w:r>
    </w:p>
    <w:tbl>
      <w:tblPr>
        <w:tblStyle w:val="TableGrid"/>
        <w:tblW w:w="9634" w:type="dxa"/>
        <w:tblLayout w:type="fixed"/>
        <w:tblLook w:val="04A0" w:firstRow="1" w:lastRow="0" w:firstColumn="1" w:lastColumn="0" w:noHBand="0" w:noVBand="1"/>
      </w:tblPr>
      <w:tblGrid>
        <w:gridCol w:w="2547"/>
        <w:gridCol w:w="1417"/>
        <w:gridCol w:w="1276"/>
        <w:gridCol w:w="1276"/>
        <w:gridCol w:w="1559"/>
        <w:gridCol w:w="1559"/>
      </w:tblGrid>
      <w:tr w:rsidR="006B2F10" w:rsidRPr="002C380F" w:rsidTr="004D7428">
        <w:tc>
          <w:tcPr>
            <w:tcW w:w="254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Outputs – 2016/17</w:t>
            </w:r>
          </w:p>
        </w:tc>
        <w:tc>
          <w:tcPr>
            <w:tcW w:w="1417"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Trajectory</w:t>
            </w:r>
          </w:p>
        </w:tc>
        <w:tc>
          <w:tcPr>
            <w:tcW w:w="1276"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6 month Actual</w:t>
            </w:r>
          </w:p>
        </w:tc>
        <w:tc>
          <w:tcPr>
            <w:tcW w:w="1276"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Variance</w:t>
            </w:r>
          </w:p>
        </w:tc>
        <w:tc>
          <w:tcPr>
            <w:tcW w:w="1559"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Actual</w:t>
            </w:r>
          </w:p>
        </w:tc>
        <w:tc>
          <w:tcPr>
            <w:tcW w:w="1559" w:type="dxa"/>
          </w:tcPr>
          <w:p w:rsidR="006B2F10" w:rsidRPr="002C380F" w:rsidRDefault="006B2F10" w:rsidP="002C380F">
            <w:pPr>
              <w:jc w:val="center"/>
              <w:rPr>
                <w:rFonts w:ascii="Arial" w:hAnsi="Arial" w:cs="Arial"/>
                <w:b/>
                <w:sz w:val="24"/>
                <w:szCs w:val="24"/>
              </w:rPr>
            </w:pPr>
            <w:r w:rsidRPr="002C380F">
              <w:rPr>
                <w:rFonts w:ascii="Arial" w:hAnsi="Arial" w:cs="Arial"/>
                <w:b/>
                <w:sz w:val="24"/>
                <w:szCs w:val="24"/>
              </w:rPr>
              <w:t>All Years Cumulative Variance</w:t>
            </w:r>
          </w:p>
        </w:tc>
      </w:tr>
      <w:tr w:rsidR="006B2F10" w:rsidRPr="002C380F" w:rsidTr="004D7428">
        <w:tc>
          <w:tcPr>
            <w:tcW w:w="2547" w:type="dxa"/>
          </w:tcPr>
          <w:p w:rsidR="006B2F10" w:rsidRPr="002C380F" w:rsidRDefault="006B2F10" w:rsidP="004D7428">
            <w:pPr>
              <w:rPr>
                <w:rFonts w:ascii="Arial" w:hAnsi="Arial" w:cs="Arial"/>
                <w:sz w:val="24"/>
                <w:szCs w:val="24"/>
              </w:rPr>
            </w:pPr>
            <w:r w:rsidRPr="002C380F">
              <w:rPr>
                <w:rFonts w:ascii="Arial" w:hAnsi="Arial" w:cs="Arial"/>
                <w:sz w:val="24"/>
                <w:szCs w:val="24"/>
              </w:rPr>
              <w:t xml:space="preserve">Public Sector Investment </w:t>
            </w:r>
          </w:p>
          <w:p w:rsidR="006B2F10" w:rsidRPr="002C380F" w:rsidRDefault="006B2F10" w:rsidP="004D7428">
            <w:pPr>
              <w:rPr>
                <w:rFonts w:ascii="Arial" w:hAnsi="Arial" w:cs="Arial"/>
                <w:sz w:val="24"/>
                <w:szCs w:val="24"/>
              </w:rPr>
            </w:pPr>
            <w:r w:rsidRPr="002C380F">
              <w:rPr>
                <w:rFonts w:ascii="Arial" w:hAnsi="Arial" w:cs="Arial"/>
                <w:sz w:val="24"/>
                <w:szCs w:val="24"/>
              </w:rPr>
              <w:t>(to support Infrastructure programme)</w:t>
            </w: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£14.18m</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£17.39m</w:t>
            </w:r>
          </w:p>
        </w:tc>
        <w:tc>
          <w:tcPr>
            <w:tcW w:w="1276"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+£3.21m</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£55.087m</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+£8.334m</w:t>
            </w:r>
          </w:p>
        </w:tc>
      </w:tr>
      <w:tr w:rsidR="006B2F10" w:rsidRPr="002C380F" w:rsidTr="004D7428">
        <w:tc>
          <w:tcPr>
            <w:tcW w:w="2547" w:type="dxa"/>
          </w:tcPr>
          <w:p w:rsidR="006B2F10" w:rsidRPr="002C380F" w:rsidRDefault="006B2F10" w:rsidP="004D7428">
            <w:pPr>
              <w:rPr>
                <w:rFonts w:ascii="Arial" w:hAnsi="Arial" w:cs="Arial"/>
                <w:sz w:val="24"/>
                <w:szCs w:val="24"/>
              </w:rPr>
            </w:pPr>
            <w:r w:rsidRPr="002C380F">
              <w:rPr>
                <w:rFonts w:ascii="Arial" w:hAnsi="Arial" w:cs="Arial"/>
                <w:sz w:val="24"/>
                <w:szCs w:val="24"/>
              </w:rPr>
              <w:t xml:space="preserve">Private Sector Investment  </w:t>
            </w:r>
          </w:p>
          <w:p w:rsidR="006B2F10" w:rsidRPr="002C380F" w:rsidRDefault="006B2F10" w:rsidP="004D7428">
            <w:pPr>
              <w:rPr>
                <w:rFonts w:ascii="Arial" w:hAnsi="Arial" w:cs="Arial"/>
                <w:sz w:val="24"/>
                <w:szCs w:val="24"/>
              </w:rPr>
            </w:pPr>
            <w:r w:rsidRPr="002C380F">
              <w:rPr>
                <w:rFonts w:ascii="Arial" w:hAnsi="Arial" w:cs="Arial"/>
                <w:sz w:val="24"/>
                <w:szCs w:val="24"/>
              </w:rPr>
              <w:t xml:space="preserve">(to support infrastructure programme) </w:t>
            </w:r>
          </w:p>
        </w:tc>
        <w:tc>
          <w:tcPr>
            <w:tcW w:w="1417"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£2.3m</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£0.124m</w:t>
            </w:r>
          </w:p>
        </w:tc>
        <w:tc>
          <w:tcPr>
            <w:tcW w:w="1276"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-£2.17m</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£9.185m</w:t>
            </w:r>
          </w:p>
        </w:tc>
        <w:tc>
          <w:tcPr>
            <w:tcW w:w="1559" w:type="dxa"/>
          </w:tcPr>
          <w:p w:rsidR="006B2F10" w:rsidRPr="002C380F" w:rsidRDefault="006B2F10" w:rsidP="002C380F">
            <w:pPr>
              <w:jc w:val="center"/>
              <w:rPr>
                <w:rFonts w:ascii="Arial" w:hAnsi="Arial" w:cs="Arial"/>
                <w:sz w:val="24"/>
                <w:szCs w:val="24"/>
              </w:rPr>
            </w:pPr>
            <w:r w:rsidRPr="002C380F">
              <w:rPr>
                <w:rFonts w:ascii="Arial" w:hAnsi="Arial" w:cs="Arial"/>
                <w:sz w:val="24"/>
                <w:szCs w:val="24"/>
              </w:rPr>
              <w:t>-£5.371m</w:t>
            </w:r>
          </w:p>
        </w:tc>
      </w:tr>
      <w:tr w:rsidR="006B2F10" w:rsidRPr="002C380F" w:rsidTr="004D7428">
        <w:tc>
          <w:tcPr>
            <w:tcW w:w="2547"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Pension Fund</w:t>
            </w:r>
          </w:p>
        </w:tc>
        <w:tc>
          <w:tcPr>
            <w:tcW w:w="1417"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w:t>
            </w:r>
          </w:p>
        </w:tc>
        <w:tc>
          <w:tcPr>
            <w:tcW w:w="1276"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w:t>
            </w:r>
          </w:p>
        </w:tc>
        <w:tc>
          <w:tcPr>
            <w:tcW w:w="1559"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£55m</w:t>
            </w:r>
          </w:p>
        </w:tc>
        <w:tc>
          <w:tcPr>
            <w:tcW w:w="1559" w:type="dxa"/>
            <w:shd w:val="clear" w:color="auto" w:fill="auto"/>
          </w:tcPr>
          <w:p w:rsidR="006B2F10" w:rsidRPr="002C380F" w:rsidRDefault="006B2F10" w:rsidP="002C380F">
            <w:pPr>
              <w:jc w:val="center"/>
              <w:rPr>
                <w:rFonts w:ascii="Arial" w:hAnsi="Arial" w:cs="Arial"/>
                <w:sz w:val="24"/>
                <w:szCs w:val="24"/>
              </w:rPr>
            </w:pPr>
            <w:r w:rsidRPr="002C380F">
              <w:rPr>
                <w:rFonts w:ascii="Arial" w:hAnsi="Arial" w:cs="Arial"/>
                <w:sz w:val="24"/>
                <w:szCs w:val="24"/>
              </w:rPr>
              <w:t>-</w:t>
            </w:r>
          </w:p>
        </w:tc>
      </w:tr>
    </w:tbl>
    <w:p w:rsidR="006B2F10" w:rsidRPr="002C380F" w:rsidRDefault="006B2F10" w:rsidP="002C380F">
      <w:pPr>
        <w:pStyle w:val="NoSpacing"/>
        <w:rPr>
          <w:rFonts w:cs="Arial"/>
          <w:szCs w:val="24"/>
        </w:rPr>
      </w:pPr>
    </w:p>
    <w:p w:rsidR="004D7428" w:rsidRDefault="004D7428" w:rsidP="002C380F">
      <w:pPr>
        <w:spacing w:after="0" w:line="240" w:lineRule="auto"/>
        <w:ind w:left="284" w:hanging="426"/>
        <w:rPr>
          <w:rFonts w:ascii="Arial" w:hAnsi="Arial" w:cs="Arial"/>
          <w:b/>
          <w:sz w:val="24"/>
          <w:szCs w:val="24"/>
        </w:rPr>
      </w:pPr>
    </w:p>
    <w:p w:rsidR="004D7428" w:rsidRDefault="004D7428" w:rsidP="002C380F">
      <w:pPr>
        <w:spacing w:after="0" w:line="240" w:lineRule="auto"/>
        <w:ind w:left="284" w:hanging="426"/>
        <w:rPr>
          <w:rFonts w:ascii="Arial" w:hAnsi="Arial" w:cs="Arial"/>
          <w:b/>
          <w:sz w:val="24"/>
          <w:szCs w:val="24"/>
        </w:rPr>
      </w:pPr>
    </w:p>
    <w:p w:rsidR="004D7428" w:rsidRDefault="004D7428" w:rsidP="002C380F">
      <w:pPr>
        <w:spacing w:after="0" w:line="240" w:lineRule="auto"/>
        <w:ind w:left="284" w:hanging="426"/>
        <w:rPr>
          <w:rFonts w:ascii="Arial" w:hAnsi="Arial" w:cs="Arial"/>
          <w:b/>
          <w:sz w:val="24"/>
          <w:szCs w:val="24"/>
        </w:rPr>
      </w:pPr>
    </w:p>
    <w:p w:rsidR="004D7428" w:rsidRDefault="004D7428" w:rsidP="002C380F">
      <w:pPr>
        <w:spacing w:after="0" w:line="240" w:lineRule="auto"/>
        <w:ind w:left="284" w:hanging="426"/>
        <w:rPr>
          <w:rFonts w:ascii="Arial" w:hAnsi="Arial" w:cs="Arial"/>
          <w:b/>
          <w:sz w:val="24"/>
          <w:szCs w:val="24"/>
        </w:rPr>
      </w:pPr>
    </w:p>
    <w:p w:rsidR="004D7428" w:rsidRDefault="004D7428" w:rsidP="002C380F">
      <w:pPr>
        <w:spacing w:after="0" w:line="240" w:lineRule="auto"/>
        <w:ind w:left="284" w:hanging="426"/>
        <w:rPr>
          <w:rFonts w:ascii="Arial" w:hAnsi="Arial" w:cs="Arial"/>
          <w:b/>
          <w:sz w:val="24"/>
          <w:szCs w:val="24"/>
        </w:rPr>
      </w:pPr>
    </w:p>
    <w:p w:rsidR="006B2F10" w:rsidRPr="002C380F" w:rsidRDefault="006B2F10" w:rsidP="004D7428">
      <w:pPr>
        <w:spacing w:after="0" w:line="240" w:lineRule="auto"/>
        <w:ind w:left="284" w:hanging="426"/>
        <w:rPr>
          <w:rFonts w:ascii="Arial" w:hAnsi="Arial" w:cs="Arial"/>
          <w:b/>
          <w:sz w:val="24"/>
          <w:szCs w:val="24"/>
        </w:rPr>
      </w:pPr>
      <w:r w:rsidRPr="002C380F">
        <w:rPr>
          <w:rFonts w:ascii="Arial" w:hAnsi="Arial" w:cs="Arial"/>
          <w:b/>
          <w:sz w:val="24"/>
          <w:szCs w:val="24"/>
        </w:rPr>
        <w:t xml:space="preserve">Public/Private </w:t>
      </w:r>
      <w:proofErr w:type="spellStart"/>
      <w:r w:rsidRPr="002C380F">
        <w:rPr>
          <w:rFonts w:ascii="Arial" w:hAnsi="Arial" w:cs="Arial"/>
          <w:b/>
          <w:sz w:val="24"/>
          <w:szCs w:val="24"/>
        </w:rPr>
        <w:t>Pr</w:t>
      </w:r>
      <w:r w:rsidR="004D7428">
        <w:rPr>
          <w:rFonts w:ascii="Arial" w:hAnsi="Arial" w:cs="Arial"/>
          <w:b/>
          <w:sz w:val="24"/>
          <w:szCs w:val="24"/>
        </w:rPr>
        <w:t>ivate</w:t>
      </w:r>
      <w:proofErr w:type="spellEnd"/>
      <w:r w:rsidR="004D7428">
        <w:rPr>
          <w:rFonts w:ascii="Arial" w:hAnsi="Arial" w:cs="Arial"/>
          <w:b/>
          <w:sz w:val="24"/>
          <w:szCs w:val="24"/>
        </w:rPr>
        <w:t xml:space="preserve"> Sector Investment Outputs</w:t>
      </w:r>
    </w:p>
    <w:p w:rsidR="006B2F10" w:rsidRPr="002C380F" w:rsidRDefault="006B2F10" w:rsidP="002C380F">
      <w:pPr>
        <w:spacing w:after="0" w:line="240" w:lineRule="auto"/>
        <w:ind w:left="-142"/>
        <w:rPr>
          <w:rFonts w:ascii="Arial" w:hAnsi="Arial" w:cs="Arial"/>
          <w:b/>
          <w:sz w:val="24"/>
          <w:szCs w:val="24"/>
        </w:rPr>
      </w:pPr>
      <w:r w:rsidRPr="002C380F">
        <w:rPr>
          <w:rFonts w:ascii="Arial" w:hAnsi="Arial" w:cs="Arial"/>
          <w:sz w:val="24"/>
          <w:szCs w:val="24"/>
        </w:rPr>
        <w:t>In 2016/17 Q1 &amp; 2 a combined total £17.51m of public and private sector investment has been invested in transport infrastructure, which has resulted in the achievement of the infrastructure milestones in Section 6 below and the construction jobs referred to in Table 3 above.</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ind w:left="-142"/>
        <w:jc w:val="both"/>
        <w:rPr>
          <w:rFonts w:ascii="Arial" w:hAnsi="Arial" w:cs="Arial"/>
          <w:b/>
          <w:sz w:val="24"/>
          <w:szCs w:val="24"/>
          <w:u w:val="single"/>
        </w:rPr>
      </w:pPr>
      <w:r w:rsidRPr="002C380F">
        <w:rPr>
          <w:rFonts w:ascii="Arial" w:hAnsi="Arial" w:cs="Arial"/>
          <w:b/>
          <w:sz w:val="24"/>
          <w:szCs w:val="24"/>
          <w:u w:val="single"/>
        </w:rPr>
        <w:t>SECTION E: INFRASTRUCTURE DELIVERY</w:t>
      </w:r>
    </w:p>
    <w:p w:rsidR="006B2F10" w:rsidRPr="002C380F" w:rsidRDefault="006B2F10" w:rsidP="002C380F">
      <w:pPr>
        <w:spacing w:after="0" w:line="240" w:lineRule="auto"/>
        <w:ind w:left="-142"/>
        <w:jc w:val="both"/>
        <w:rPr>
          <w:rFonts w:ascii="Arial" w:hAnsi="Arial" w:cs="Arial"/>
          <w:b/>
          <w:sz w:val="24"/>
          <w:szCs w:val="24"/>
        </w:rPr>
      </w:pPr>
    </w:p>
    <w:p w:rsidR="006B2F10" w:rsidRPr="002C380F" w:rsidRDefault="006B2F10" w:rsidP="002C380F">
      <w:pPr>
        <w:spacing w:after="0" w:line="240" w:lineRule="auto"/>
        <w:ind w:left="-142"/>
        <w:jc w:val="both"/>
        <w:rPr>
          <w:rFonts w:ascii="Arial" w:hAnsi="Arial" w:cs="Arial"/>
          <w:b/>
          <w:sz w:val="24"/>
          <w:szCs w:val="24"/>
        </w:rPr>
      </w:pPr>
      <w:r w:rsidRPr="002C380F">
        <w:rPr>
          <w:rFonts w:ascii="Arial" w:hAnsi="Arial" w:cs="Arial"/>
          <w:sz w:val="24"/>
          <w:szCs w:val="24"/>
        </w:rPr>
        <w:t>Progress towards infrastructure, sustainable transport infrastructure and community infrastructure outputs are reported upon fully in the quarterly monit</w:t>
      </w:r>
      <w:r w:rsidR="002C380F">
        <w:rPr>
          <w:rFonts w:ascii="Arial" w:hAnsi="Arial" w:cs="Arial"/>
          <w:sz w:val="24"/>
          <w:szCs w:val="24"/>
        </w:rPr>
        <w:t>oring spreadsheet (attached as Appendix C</w:t>
      </w:r>
      <w:r w:rsidRPr="002C380F">
        <w:rPr>
          <w:rFonts w:ascii="Arial" w:hAnsi="Arial" w:cs="Arial"/>
          <w:sz w:val="24"/>
          <w:szCs w:val="24"/>
        </w:rPr>
        <w:t>).  However the Stewardship Board Agreement includes specific infrastructure targets as Supporting outputs for which a summary update on 2016/17 milestones is provided in table 5 below.</w:t>
      </w:r>
    </w:p>
    <w:p w:rsidR="006B2F10" w:rsidRPr="002C380F" w:rsidRDefault="006B2F10" w:rsidP="002C380F">
      <w:pPr>
        <w:spacing w:after="0" w:line="240" w:lineRule="auto"/>
        <w:ind w:left="720" w:hanging="720"/>
        <w:jc w:val="both"/>
        <w:rPr>
          <w:rFonts w:ascii="Arial" w:hAnsi="Arial" w:cs="Arial"/>
          <w:b/>
          <w:sz w:val="24"/>
          <w:szCs w:val="24"/>
        </w:rPr>
      </w:pPr>
    </w:p>
    <w:p w:rsidR="006B2F10" w:rsidRPr="002C380F" w:rsidRDefault="006B2F10" w:rsidP="002C380F">
      <w:pPr>
        <w:spacing w:after="0" w:line="240" w:lineRule="auto"/>
        <w:ind w:left="720" w:hanging="720"/>
        <w:jc w:val="both"/>
        <w:rPr>
          <w:rFonts w:ascii="Arial" w:hAnsi="Arial" w:cs="Arial"/>
          <w:b/>
          <w:sz w:val="24"/>
          <w:szCs w:val="24"/>
        </w:rPr>
      </w:pPr>
      <w:r w:rsidRPr="002C380F">
        <w:rPr>
          <w:rFonts w:ascii="Arial" w:hAnsi="Arial" w:cs="Arial"/>
          <w:b/>
          <w:sz w:val="24"/>
          <w:szCs w:val="24"/>
        </w:rPr>
        <w:t>Table 5</w:t>
      </w:r>
    </w:p>
    <w:tbl>
      <w:tblPr>
        <w:tblStyle w:val="TableGrid"/>
        <w:tblW w:w="0" w:type="auto"/>
        <w:tblLook w:val="04A0" w:firstRow="1" w:lastRow="0" w:firstColumn="1" w:lastColumn="0" w:noHBand="0" w:noVBand="1"/>
      </w:tblPr>
      <w:tblGrid>
        <w:gridCol w:w="4032"/>
        <w:gridCol w:w="2488"/>
        <w:gridCol w:w="2496"/>
      </w:tblGrid>
      <w:tr w:rsidR="006B2F10" w:rsidRPr="002C380F" w:rsidTr="002C380F">
        <w:tc>
          <w:tcPr>
            <w:tcW w:w="3491"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Infrastructure Programme</w:t>
            </w:r>
          </w:p>
          <w:p w:rsidR="006B2F10" w:rsidRPr="002C380F" w:rsidRDefault="006B2F10" w:rsidP="002C380F">
            <w:pPr>
              <w:jc w:val="both"/>
              <w:rPr>
                <w:rFonts w:ascii="Arial" w:hAnsi="Arial" w:cs="Arial"/>
                <w:b/>
                <w:sz w:val="24"/>
                <w:szCs w:val="24"/>
              </w:rPr>
            </w:pPr>
          </w:p>
        </w:tc>
        <w:tc>
          <w:tcPr>
            <w:tcW w:w="2790"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2016/17 Target</w:t>
            </w:r>
          </w:p>
          <w:p w:rsidR="006B2F10" w:rsidRPr="002C380F" w:rsidRDefault="006B2F10" w:rsidP="002C380F">
            <w:pPr>
              <w:jc w:val="both"/>
              <w:rPr>
                <w:rFonts w:ascii="Arial" w:hAnsi="Arial" w:cs="Arial"/>
                <w:b/>
                <w:sz w:val="24"/>
                <w:szCs w:val="24"/>
              </w:rPr>
            </w:pPr>
            <w:r w:rsidRPr="002C380F">
              <w:rPr>
                <w:rFonts w:ascii="Arial" w:hAnsi="Arial" w:cs="Arial"/>
                <w:b/>
                <w:sz w:val="24"/>
                <w:szCs w:val="24"/>
              </w:rPr>
              <w:t>(Q1 + Q2)</w:t>
            </w:r>
          </w:p>
        </w:tc>
        <w:tc>
          <w:tcPr>
            <w:tcW w:w="2735"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2016/17 Actual (Q1 + Q2)</w:t>
            </w:r>
          </w:p>
          <w:p w:rsidR="006B2F10" w:rsidRPr="002C380F" w:rsidRDefault="006B2F10" w:rsidP="002C380F">
            <w:pPr>
              <w:jc w:val="both"/>
              <w:rPr>
                <w:rFonts w:ascii="Arial" w:hAnsi="Arial" w:cs="Arial"/>
                <w:b/>
                <w:sz w:val="24"/>
                <w:szCs w:val="24"/>
              </w:rPr>
            </w:pPr>
            <w:r w:rsidRPr="002C380F">
              <w:rPr>
                <w:rFonts w:ascii="Arial" w:hAnsi="Arial" w:cs="Arial"/>
                <w:b/>
                <w:sz w:val="24"/>
                <w:szCs w:val="24"/>
              </w:rPr>
              <w:t>Up to and including September 2016</w:t>
            </w: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A6 Broughton Bypass (M55 J1 &amp; M6 J32 improvements)</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Construction Underway</w:t>
            </w:r>
          </w:p>
        </w:tc>
        <w:tc>
          <w:tcPr>
            <w:tcW w:w="2735" w:type="dxa"/>
            <w:shd w:val="clear" w:color="auto" w:fill="auto"/>
          </w:tcPr>
          <w:p w:rsidR="002C380F" w:rsidRDefault="006B2F10" w:rsidP="002C380F">
            <w:pPr>
              <w:rPr>
                <w:rFonts w:ascii="Arial" w:hAnsi="Arial" w:cs="Arial"/>
                <w:sz w:val="24"/>
                <w:szCs w:val="24"/>
              </w:rPr>
            </w:pPr>
            <w:r w:rsidRPr="002C380F">
              <w:rPr>
                <w:rFonts w:ascii="Arial" w:hAnsi="Arial" w:cs="Arial"/>
                <w:sz w:val="24"/>
                <w:szCs w:val="24"/>
              </w:rPr>
              <w:t xml:space="preserve">Construction Underway.  </w:t>
            </w:r>
          </w:p>
          <w:p w:rsidR="002C380F" w:rsidRDefault="002C380F"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Completion date revised to August 2017.</w:t>
            </w: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Preston Western Distributor </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Outline Business Case Submitted</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Planning application submitted</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Planning Application determined </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Planning Application Submitted.</w:t>
            </w:r>
          </w:p>
          <w:p w:rsidR="006B2F10" w:rsidRPr="002C380F" w:rsidRDefault="006B2F10" w:rsidP="002C380F">
            <w:pPr>
              <w:rPr>
                <w:rFonts w:ascii="Arial" w:hAnsi="Arial" w:cs="Arial"/>
                <w:sz w:val="24"/>
                <w:szCs w:val="24"/>
              </w:rPr>
            </w:pPr>
          </w:p>
          <w:p w:rsidR="002C380F" w:rsidRDefault="006B2F10" w:rsidP="002C380F">
            <w:pPr>
              <w:rPr>
                <w:rFonts w:ascii="Arial" w:hAnsi="Arial" w:cs="Arial"/>
                <w:sz w:val="24"/>
                <w:szCs w:val="24"/>
              </w:rPr>
            </w:pPr>
            <w:r w:rsidRPr="002C380F">
              <w:rPr>
                <w:rFonts w:ascii="Arial" w:hAnsi="Arial" w:cs="Arial"/>
                <w:sz w:val="24"/>
                <w:szCs w:val="24"/>
              </w:rPr>
              <w:t xml:space="preserve">OBC to be submitted and Planning </w:t>
            </w:r>
          </w:p>
          <w:p w:rsidR="002C380F" w:rsidRDefault="002C380F"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Application to be determined by end of March 2017. </w:t>
            </w: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Penwortham Bypass </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completed</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complete.</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Planning application submission date revised and expected to be December 2016 and determination date revised to Q1/Q2 2017.</w:t>
            </w:r>
          </w:p>
          <w:p w:rsidR="006B2F10" w:rsidRPr="002C380F" w:rsidRDefault="006B2F10" w:rsidP="002C380F">
            <w:pPr>
              <w:rPr>
                <w:rFonts w:ascii="Arial" w:hAnsi="Arial" w:cs="Arial"/>
                <w:sz w:val="24"/>
                <w:szCs w:val="24"/>
              </w:rPr>
            </w:pPr>
          </w:p>
          <w:p w:rsidR="006B2F10" w:rsidRDefault="006B2F10" w:rsidP="002C380F">
            <w:pPr>
              <w:rPr>
                <w:rFonts w:ascii="Arial" w:hAnsi="Arial" w:cs="Arial"/>
                <w:sz w:val="24"/>
                <w:szCs w:val="24"/>
              </w:rPr>
            </w:pPr>
            <w:r w:rsidRPr="002C380F">
              <w:rPr>
                <w:rFonts w:ascii="Arial" w:hAnsi="Arial" w:cs="Arial"/>
                <w:sz w:val="24"/>
                <w:szCs w:val="24"/>
              </w:rPr>
              <w:t>Detailed design ongoing and land negotiations commenced.</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A582 South </w:t>
            </w:r>
            <w:proofErr w:type="spellStart"/>
            <w:r w:rsidRPr="002C380F">
              <w:rPr>
                <w:rFonts w:ascii="Arial" w:hAnsi="Arial" w:cs="Arial"/>
                <w:sz w:val="24"/>
                <w:szCs w:val="24"/>
              </w:rPr>
              <w:t>Ribble</w:t>
            </w:r>
            <w:proofErr w:type="spellEnd"/>
            <w:r w:rsidRPr="002C380F">
              <w:rPr>
                <w:rFonts w:ascii="Arial" w:hAnsi="Arial" w:cs="Arial"/>
                <w:sz w:val="24"/>
                <w:szCs w:val="24"/>
              </w:rPr>
              <w:t xml:space="preserve"> Western Distributor </w:t>
            </w:r>
            <w:proofErr w:type="spellStart"/>
            <w:r w:rsidRPr="002C380F">
              <w:rPr>
                <w:rFonts w:ascii="Arial" w:hAnsi="Arial" w:cs="Arial"/>
                <w:sz w:val="24"/>
                <w:szCs w:val="24"/>
              </w:rPr>
              <w:t>Dualling</w:t>
            </w:r>
            <w:proofErr w:type="spellEnd"/>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Ongoing concept design </w:t>
            </w:r>
          </w:p>
          <w:p w:rsidR="006B2F10" w:rsidRPr="002C380F" w:rsidRDefault="006B2F10" w:rsidP="002C380F">
            <w:pPr>
              <w:rPr>
                <w:rFonts w:ascii="Arial" w:hAnsi="Arial" w:cs="Arial"/>
                <w:sz w:val="24"/>
                <w:szCs w:val="24"/>
              </w:rPr>
            </w:pPr>
            <w:r w:rsidRPr="002C380F">
              <w:rPr>
                <w:rFonts w:ascii="Arial" w:hAnsi="Arial" w:cs="Arial"/>
                <w:sz w:val="24"/>
                <w:szCs w:val="24"/>
              </w:rPr>
              <w:t xml:space="preserve"> </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Route adopted and approved.</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Preparation of the planning application underway, submission expected be in Q4.</w:t>
            </w:r>
          </w:p>
          <w:p w:rsidR="006B2F10" w:rsidRPr="002C380F" w:rsidRDefault="006B2F10" w:rsidP="002C380F">
            <w:pPr>
              <w:rPr>
                <w:rFonts w:ascii="Arial" w:hAnsi="Arial" w:cs="Arial"/>
                <w:sz w:val="24"/>
                <w:szCs w:val="24"/>
              </w:rPr>
            </w:pPr>
          </w:p>
        </w:tc>
      </w:tr>
      <w:tr w:rsidR="006B2F10" w:rsidRPr="002C380F" w:rsidTr="002C380F">
        <w:trPr>
          <w:trHeight w:val="113"/>
        </w:trPr>
        <w:tc>
          <w:tcPr>
            <w:tcW w:w="3491"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Public Transport Priority Corridor</w:t>
            </w:r>
          </w:p>
        </w:tc>
        <w:tc>
          <w:tcPr>
            <w:tcW w:w="2790"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2015/16 Target</w:t>
            </w:r>
          </w:p>
          <w:p w:rsidR="006B2F10" w:rsidRPr="002C380F" w:rsidRDefault="006B2F10" w:rsidP="002C380F">
            <w:pPr>
              <w:rPr>
                <w:rFonts w:ascii="Arial" w:hAnsi="Arial" w:cs="Arial"/>
                <w:sz w:val="24"/>
                <w:szCs w:val="24"/>
              </w:rPr>
            </w:pPr>
            <w:r w:rsidRPr="002C380F">
              <w:rPr>
                <w:rFonts w:ascii="Arial" w:hAnsi="Arial" w:cs="Arial"/>
                <w:b/>
                <w:sz w:val="24"/>
                <w:szCs w:val="24"/>
              </w:rPr>
              <w:t>(Q1 + Q2)</w:t>
            </w:r>
          </w:p>
        </w:tc>
        <w:tc>
          <w:tcPr>
            <w:tcW w:w="2735"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2015/16 Actual (Q1 + Q2)</w:t>
            </w:r>
          </w:p>
          <w:p w:rsidR="006B2F10" w:rsidRPr="002C380F" w:rsidRDefault="006B2F10" w:rsidP="002C380F">
            <w:pPr>
              <w:rPr>
                <w:rFonts w:ascii="Arial" w:hAnsi="Arial" w:cs="Arial"/>
                <w:sz w:val="24"/>
                <w:szCs w:val="24"/>
              </w:rPr>
            </w:pPr>
            <w:r w:rsidRPr="002C380F">
              <w:rPr>
                <w:rFonts w:ascii="Arial" w:hAnsi="Arial" w:cs="Arial"/>
                <w:b/>
                <w:sz w:val="24"/>
                <w:szCs w:val="24"/>
              </w:rPr>
              <w:t>Up to and including September 2015</w:t>
            </w:r>
          </w:p>
        </w:tc>
      </w:tr>
      <w:tr w:rsidR="006B2F10" w:rsidRPr="002C380F" w:rsidTr="002C380F">
        <w:trPr>
          <w:trHeight w:val="113"/>
        </w:trPr>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Broughton-</w:t>
            </w:r>
            <w:proofErr w:type="spellStart"/>
            <w:r w:rsidRPr="002C380F">
              <w:rPr>
                <w:rFonts w:ascii="Arial" w:hAnsi="Arial" w:cs="Arial"/>
                <w:sz w:val="24"/>
                <w:szCs w:val="24"/>
              </w:rPr>
              <w:t>Fulwood</w:t>
            </w:r>
            <w:proofErr w:type="spellEnd"/>
            <w:r w:rsidRPr="002C380F">
              <w:rPr>
                <w:rFonts w:ascii="Arial" w:hAnsi="Arial" w:cs="Arial"/>
                <w:sz w:val="24"/>
                <w:szCs w:val="24"/>
              </w:rPr>
              <w:t xml:space="preserve"> (North of M55)</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Scheme Design under development</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Scheme design nearing completion.</w:t>
            </w:r>
          </w:p>
          <w:p w:rsidR="006B2F10" w:rsidRPr="002C380F" w:rsidRDefault="006B2F10" w:rsidP="002C380F">
            <w:pPr>
              <w:rPr>
                <w:rFonts w:ascii="Arial" w:hAnsi="Arial" w:cs="Arial"/>
                <w:sz w:val="24"/>
                <w:szCs w:val="24"/>
              </w:rPr>
            </w:pPr>
          </w:p>
          <w:p w:rsidR="006B2F10" w:rsidRDefault="006B2F10" w:rsidP="002C380F">
            <w:pPr>
              <w:rPr>
                <w:rFonts w:ascii="Arial" w:hAnsi="Arial" w:cs="Arial"/>
                <w:sz w:val="24"/>
                <w:szCs w:val="24"/>
              </w:rPr>
            </w:pPr>
            <w:r w:rsidRPr="002C380F">
              <w:rPr>
                <w:rFonts w:ascii="Arial" w:hAnsi="Arial" w:cs="Arial"/>
                <w:sz w:val="24"/>
                <w:szCs w:val="24"/>
              </w:rPr>
              <w:t>Scheme re-programmed to follow the completion of the Broughton Bypass.</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Longridge/</w:t>
            </w:r>
            <w:proofErr w:type="spellStart"/>
            <w:r w:rsidRPr="002C380F">
              <w:rPr>
                <w:rFonts w:ascii="Arial" w:hAnsi="Arial" w:cs="Arial"/>
                <w:sz w:val="24"/>
                <w:szCs w:val="24"/>
              </w:rPr>
              <w:t>Grimsargh</w:t>
            </w:r>
            <w:proofErr w:type="spellEnd"/>
            <w:r w:rsidRPr="002C380F">
              <w:rPr>
                <w:rFonts w:ascii="Arial" w:hAnsi="Arial" w:cs="Arial"/>
                <w:sz w:val="24"/>
                <w:szCs w:val="24"/>
              </w:rPr>
              <w:t>/</w:t>
            </w:r>
            <w:proofErr w:type="spellStart"/>
            <w:r w:rsidRPr="002C380F">
              <w:rPr>
                <w:rFonts w:ascii="Arial" w:hAnsi="Arial" w:cs="Arial"/>
                <w:sz w:val="24"/>
                <w:szCs w:val="24"/>
              </w:rPr>
              <w:t>Ribbleton</w:t>
            </w:r>
            <w:proofErr w:type="spellEnd"/>
            <w:r w:rsidRPr="002C380F">
              <w:rPr>
                <w:rFonts w:ascii="Arial" w:hAnsi="Arial" w:cs="Arial"/>
                <w:sz w:val="24"/>
                <w:szCs w:val="24"/>
              </w:rPr>
              <w:t>/City Centre</w:t>
            </w:r>
          </w:p>
        </w:tc>
        <w:tc>
          <w:tcPr>
            <w:tcW w:w="2790" w:type="dxa"/>
            <w:shd w:val="clear" w:color="auto" w:fill="auto"/>
          </w:tcPr>
          <w:p w:rsidR="006B2F10" w:rsidRPr="002C380F" w:rsidDel="005D02CF" w:rsidRDefault="006B2F10" w:rsidP="002C380F">
            <w:pPr>
              <w:rPr>
                <w:rFonts w:ascii="Arial" w:hAnsi="Arial" w:cs="Arial"/>
                <w:sz w:val="24"/>
                <w:szCs w:val="24"/>
              </w:rPr>
            </w:pPr>
            <w:r w:rsidRPr="002C380F">
              <w:rPr>
                <w:rFonts w:ascii="Arial" w:hAnsi="Arial" w:cs="Arial"/>
                <w:sz w:val="24"/>
                <w:szCs w:val="24"/>
              </w:rPr>
              <w:t>Concept Design preparation</w:t>
            </w:r>
          </w:p>
        </w:tc>
        <w:tc>
          <w:tcPr>
            <w:tcW w:w="2735" w:type="dxa"/>
            <w:shd w:val="clear" w:color="auto" w:fill="auto"/>
          </w:tcPr>
          <w:p w:rsidR="006B2F10" w:rsidRDefault="006B2F10" w:rsidP="002C380F">
            <w:pPr>
              <w:rPr>
                <w:rFonts w:ascii="Arial" w:hAnsi="Arial" w:cs="Arial"/>
                <w:sz w:val="24"/>
                <w:szCs w:val="24"/>
              </w:rPr>
            </w:pPr>
            <w:r w:rsidRPr="002C380F">
              <w:rPr>
                <w:rFonts w:ascii="Arial" w:hAnsi="Arial" w:cs="Arial"/>
                <w:sz w:val="24"/>
                <w:szCs w:val="24"/>
              </w:rPr>
              <w:t xml:space="preserve">Scheme to be reprogrammed to enable a strategic </w:t>
            </w:r>
            <w:proofErr w:type="spellStart"/>
            <w:r w:rsidRPr="002C380F">
              <w:rPr>
                <w:rFonts w:ascii="Arial" w:hAnsi="Arial" w:cs="Arial"/>
                <w:sz w:val="24"/>
                <w:szCs w:val="24"/>
              </w:rPr>
              <w:t>masterplanning</w:t>
            </w:r>
            <w:proofErr w:type="spellEnd"/>
            <w:r w:rsidRPr="002C380F">
              <w:rPr>
                <w:rFonts w:ascii="Arial" w:hAnsi="Arial" w:cs="Arial"/>
                <w:sz w:val="24"/>
                <w:szCs w:val="24"/>
              </w:rPr>
              <w:t xml:space="preserve"> exercise to be undertaken for all of the corridors.</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proofErr w:type="spellStart"/>
            <w:r w:rsidRPr="002C380F">
              <w:rPr>
                <w:rFonts w:ascii="Arial" w:hAnsi="Arial" w:cs="Arial"/>
                <w:sz w:val="24"/>
                <w:szCs w:val="24"/>
              </w:rPr>
              <w:t>Fishergate</w:t>
            </w:r>
            <w:proofErr w:type="spellEnd"/>
            <w:r w:rsidRPr="002C380F">
              <w:rPr>
                <w:rFonts w:ascii="Arial" w:hAnsi="Arial" w:cs="Arial"/>
                <w:sz w:val="24"/>
                <w:szCs w:val="24"/>
              </w:rPr>
              <w:t xml:space="preserve"> Central Gateway</w:t>
            </w:r>
          </w:p>
          <w:p w:rsidR="006B2F10" w:rsidRPr="002C380F" w:rsidRDefault="006B2F10" w:rsidP="002C380F">
            <w:pPr>
              <w:rPr>
                <w:rFonts w:ascii="Arial" w:hAnsi="Arial" w:cs="Arial"/>
                <w:sz w:val="24"/>
                <w:szCs w:val="24"/>
              </w:rPr>
            </w:pP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Phase 2 completed.</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Phase 2 completed.</w:t>
            </w:r>
          </w:p>
          <w:p w:rsidR="006B2F10" w:rsidRPr="002C380F" w:rsidRDefault="006B2F10" w:rsidP="002C380F">
            <w:pPr>
              <w:rPr>
                <w:rFonts w:ascii="Arial" w:hAnsi="Arial" w:cs="Arial"/>
                <w:sz w:val="24"/>
                <w:szCs w:val="24"/>
              </w:rPr>
            </w:pPr>
          </w:p>
          <w:p w:rsidR="006B2F10" w:rsidRDefault="006B2F10" w:rsidP="002C380F">
            <w:pPr>
              <w:rPr>
                <w:rFonts w:ascii="Arial" w:hAnsi="Arial" w:cs="Arial"/>
                <w:sz w:val="24"/>
                <w:szCs w:val="24"/>
              </w:rPr>
            </w:pPr>
            <w:r w:rsidRPr="002C380F">
              <w:rPr>
                <w:rFonts w:ascii="Arial" w:hAnsi="Arial" w:cs="Arial"/>
                <w:sz w:val="24"/>
                <w:szCs w:val="24"/>
              </w:rPr>
              <w:t>Phase 3 in design stage.</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proofErr w:type="spellStart"/>
            <w:r w:rsidRPr="002C380F">
              <w:rPr>
                <w:rFonts w:ascii="Arial" w:hAnsi="Arial" w:cs="Arial"/>
                <w:sz w:val="24"/>
                <w:szCs w:val="24"/>
              </w:rPr>
              <w:t>Winckley</w:t>
            </w:r>
            <w:proofErr w:type="spellEnd"/>
            <w:r w:rsidRPr="002C380F">
              <w:rPr>
                <w:rFonts w:ascii="Arial" w:hAnsi="Arial" w:cs="Arial"/>
                <w:sz w:val="24"/>
                <w:szCs w:val="24"/>
              </w:rPr>
              <w:t xml:space="preserve"> Square THI</w:t>
            </w:r>
          </w:p>
          <w:p w:rsidR="006B2F10" w:rsidRPr="002C380F" w:rsidRDefault="006B2F10" w:rsidP="002C380F">
            <w:pPr>
              <w:rPr>
                <w:rFonts w:ascii="Arial" w:hAnsi="Arial" w:cs="Arial"/>
                <w:sz w:val="24"/>
                <w:szCs w:val="24"/>
              </w:rPr>
            </w:pPr>
            <w:r w:rsidRPr="002C380F">
              <w:rPr>
                <w:rFonts w:ascii="Arial" w:hAnsi="Arial" w:cs="Arial"/>
                <w:sz w:val="24"/>
                <w:szCs w:val="24"/>
              </w:rPr>
              <w:t>(includes Cannon Street)</w:t>
            </w:r>
          </w:p>
          <w:p w:rsidR="006B2F10" w:rsidRPr="002C380F" w:rsidRDefault="006B2F10" w:rsidP="002C380F">
            <w:pPr>
              <w:rPr>
                <w:rFonts w:ascii="Arial" w:hAnsi="Arial" w:cs="Arial"/>
                <w:sz w:val="24"/>
                <w:szCs w:val="24"/>
              </w:rPr>
            </w:pP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Cannon Street Scheme Complete.</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2C380F" w:rsidRDefault="002C380F" w:rsidP="002C380F">
            <w:pPr>
              <w:rPr>
                <w:rFonts w:ascii="Arial" w:hAnsi="Arial" w:cs="Arial"/>
                <w:sz w:val="24"/>
                <w:szCs w:val="24"/>
              </w:rPr>
            </w:pPr>
          </w:p>
          <w:p w:rsidR="002C380F" w:rsidRDefault="002C380F"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Phase 1 property refurbishment commenced.</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Cannon street scheme slightly behind schedule but delivery timescales being reviewed.  Expected completion 2017.</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Property Refurbishment and Glovers Court – agent appointed, </w:t>
            </w:r>
            <w:r w:rsidRPr="002C380F">
              <w:rPr>
                <w:rFonts w:ascii="Arial" w:hAnsi="Arial" w:cs="Arial"/>
                <w:sz w:val="24"/>
                <w:szCs w:val="24"/>
              </w:rPr>
              <w:lastRenderedPageBreak/>
              <w:t>works commenced on site.</w:t>
            </w: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Hutton to Higher Penwortham/City Centre</w:t>
            </w:r>
          </w:p>
          <w:p w:rsidR="006B2F10" w:rsidRPr="002C380F" w:rsidRDefault="006B2F10" w:rsidP="002C380F">
            <w:pPr>
              <w:rPr>
                <w:rFonts w:ascii="Arial" w:hAnsi="Arial" w:cs="Arial"/>
                <w:sz w:val="24"/>
                <w:szCs w:val="24"/>
              </w:rPr>
            </w:pP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complete.</w:t>
            </w:r>
          </w:p>
          <w:p w:rsidR="002C380F" w:rsidRDefault="002C380F"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Concept design approved.</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completed.</w:t>
            </w:r>
          </w:p>
          <w:p w:rsidR="006B2F10" w:rsidRPr="002C380F" w:rsidRDefault="006B2F10" w:rsidP="002C380F">
            <w:pPr>
              <w:rPr>
                <w:rFonts w:ascii="Arial" w:hAnsi="Arial" w:cs="Arial"/>
                <w:sz w:val="24"/>
                <w:szCs w:val="24"/>
              </w:rPr>
            </w:pPr>
          </w:p>
          <w:p w:rsidR="006B2F10" w:rsidRDefault="006B2F10" w:rsidP="002C380F">
            <w:pPr>
              <w:rPr>
                <w:rFonts w:ascii="Arial" w:hAnsi="Arial" w:cs="Arial"/>
                <w:sz w:val="24"/>
                <w:szCs w:val="24"/>
              </w:rPr>
            </w:pPr>
            <w:r w:rsidRPr="002C380F">
              <w:rPr>
                <w:rFonts w:ascii="Arial" w:hAnsi="Arial" w:cs="Arial"/>
                <w:sz w:val="24"/>
                <w:szCs w:val="24"/>
              </w:rPr>
              <w:t xml:space="preserve">Scheme delivery to be reprogrammed to enable a strategic </w:t>
            </w:r>
            <w:proofErr w:type="spellStart"/>
            <w:r w:rsidRPr="002C380F">
              <w:rPr>
                <w:rFonts w:ascii="Arial" w:hAnsi="Arial" w:cs="Arial"/>
                <w:sz w:val="24"/>
                <w:szCs w:val="24"/>
              </w:rPr>
              <w:t>masterplanning</w:t>
            </w:r>
            <w:proofErr w:type="spellEnd"/>
            <w:r w:rsidRPr="002C380F">
              <w:rPr>
                <w:rFonts w:ascii="Arial" w:hAnsi="Arial" w:cs="Arial"/>
                <w:sz w:val="24"/>
                <w:szCs w:val="24"/>
              </w:rPr>
              <w:t xml:space="preserve"> exercise to be undertaken for all of the corridors.</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North of </w:t>
            </w:r>
            <w:proofErr w:type="spellStart"/>
            <w:r w:rsidRPr="002C380F">
              <w:rPr>
                <w:rFonts w:ascii="Arial" w:hAnsi="Arial" w:cs="Arial"/>
                <w:sz w:val="24"/>
                <w:szCs w:val="24"/>
              </w:rPr>
              <w:t>Lostock</w:t>
            </w:r>
            <w:proofErr w:type="spellEnd"/>
            <w:r w:rsidRPr="002C380F">
              <w:rPr>
                <w:rFonts w:ascii="Arial" w:hAnsi="Arial" w:cs="Arial"/>
                <w:sz w:val="24"/>
                <w:szCs w:val="24"/>
              </w:rPr>
              <w:t xml:space="preserve"> Lane (New Hall Lane)</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Construction underway</w:t>
            </w:r>
          </w:p>
        </w:tc>
        <w:tc>
          <w:tcPr>
            <w:tcW w:w="2735" w:type="dxa"/>
            <w:shd w:val="clear" w:color="auto" w:fill="auto"/>
          </w:tcPr>
          <w:p w:rsidR="006B2F10" w:rsidRDefault="006B2F10" w:rsidP="002C380F">
            <w:pPr>
              <w:rPr>
                <w:rFonts w:ascii="Arial" w:hAnsi="Arial" w:cs="Arial"/>
                <w:sz w:val="24"/>
                <w:szCs w:val="24"/>
              </w:rPr>
            </w:pPr>
            <w:r w:rsidRPr="002C380F">
              <w:rPr>
                <w:rFonts w:ascii="Arial" w:hAnsi="Arial" w:cs="Arial"/>
                <w:sz w:val="24"/>
                <w:szCs w:val="24"/>
              </w:rPr>
              <w:t>Construction underway</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South of </w:t>
            </w:r>
            <w:proofErr w:type="spellStart"/>
            <w:r w:rsidRPr="002C380F">
              <w:rPr>
                <w:rFonts w:ascii="Arial" w:hAnsi="Arial" w:cs="Arial"/>
                <w:sz w:val="24"/>
                <w:szCs w:val="24"/>
              </w:rPr>
              <w:t>Lostock</w:t>
            </w:r>
            <w:proofErr w:type="spellEnd"/>
            <w:r w:rsidRPr="002C380F">
              <w:rPr>
                <w:rFonts w:ascii="Arial" w:hAnsi="Arial" w:cs="Arial"/>
                <w:sz w:val="24"/>
                <w:szCs w:val="24"/>
              </w:rPr>
              <w:t xml:space="preserve"> Lane </w:t>
            </w:r>
          </w:p>
          <w:p w:rsidR="006B2F10" w:rsidRPr="002C380F" w:rsidRDefault="006B2F10" w:rsidP="002C380F">
            <w:pPr>
              <w:rPr>
                <w:rFonts w:ascii="Arial" w:hAnsi="Arial" w:cs="Arial"/>
                <w:sz w:val="24"/>
                <w:szCs w:val="24"/>
              </w:rPr>
            </w:pP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complete.</w:t>
            </w:r>
          </w:p>
          <w:p w:rsidR="006B2F10" w:rsidRPr="002C380F" w:rsidRDefault="006B2F10" w:rsidP="002C380F">
            <w:pPr>
              <w:rPr>
                <w:rFonts w:ascii="Arial" w:hAnsi="Arial" w:cs="Arial"/>
                <w:sz w:val="24"/>
                <w:szCs w:val="24"/>
              </w:rPr>
            </w:pPr>
            <w:r w:rsidRPr="002C380F">
              <w:rPr>
                <w:rFonts w:ascii="Arial" w:hAnsi="Arial" w:cs="Arial"/>
                <w:sz w:val="24"/>
                <w:szCs w:val="24"/>
              </w:rPr>
              <w:t>Concept design approved.</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Consultation expected to take place in Q3.</w:t>
            </w:r>
          </w:p>
          <w:p w:rsidR="006B2F10" w:rsidRDefault="006B2F10" w:rsidP="002C380F">
            <w:pPr>
              <w:rPr>
                <w:rFonts w:ascii="Arial" w:hAnsi="Arial" w:cs="Arial"/>
                <w:sz w:val="24"/>
                <w:szCs w:val="24"/>
              </w:rPr>
            </w:pPr>
            <w:r w:rsidRPr="002C380F">
              <w:rPr>
                <w:rFonts w:ascii="Arial" w:hAnsi="Arial" w:cs="Arial"/>
                <w:sz w:val="24"/>
                <w:szCs w:val="24"/>
              </w:rPr>
              <w:t xml:space="preserve">Scheme to be reprogrammed to enable a strategic </w:t>
            </w:r>
            <w:proofErr w:type="spellStart"/>
            <w:r w:rsidRPr="002C380F">
              <w:rPr>
                <w:rFonts w:ascii="Arial" w:hAnsi="Arial" w:cs="Arial"/>
                <w:sz w:val="24"/>
                <w:szCs w:val="24"/>
              </w:rPr>
              <w:t>masterplanning</w:t>
            </w:r>
            <w:proofErr w:type="spellEnd"/>
            <w:r w:rsidRPr="002C380F">
              <w:rPr>
                <w:rFonts w:ascii="Arial" w:hAnsi="Arial" w:cs="Arial"/>
                <w:sz w:val="24"/>
                <w:szCs w:val="24"/>
              </w:rPr>
              <w:t xml:space="preserve"> exercise to be undertaken for all of the corridors.</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Bamber Bridge /City Centre</w:t>
            </w:r>
          </w:p>
          <w:p w:rsidR="006B2F10" w:rsidRPr="002C380F" w:rsidRDefault="006B2F10" w:rsidP="002C380F">
            <w:pPr>
              <w:rPr>
                <w:rFonts w:ascii="Arial" w:hAnsi="Arial" w:cs="Arial"/>
                <w:sz w:val="24"/>
                <w:szCs w:val="24"/>
              </w:rPr>
            </w:pP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Construction on site commenced.</w:t>
            </w:r>
          </w:p>
        </w:tc>
        <w:tc>
          <w:tcPr>
            <w:tcW w:w="2735" w:type="dxa"/>
            <w:shd w:val="clear" w:color="auto" w:fill="auto"/>
          </w:tcPr>
          <w:p w:rsidR="006B2F10" w:rsidRDefault="006B2F10" w:rsidP="002C380F">
            <w:pPr>
              <w:rPr>
                <w:rFonts w:ascii="Arial" w:hAnsi="Arial" w:cs="Arial"/>
                <w:sz w:val="24"/>
                <w:szCs w:val="24"/>
              </w:rPr>
            </w:pPr>
            <w:r w:rsidRPr="002C380F">
              <w:rPr>
                <w:rFonts w:ascii="Arial" w:hAnsi="Arial" w:cs="Arial"/>
                <w:sz w:val="24"/>
                <w:szCs w:val="24"/>
              </w:rPr>
              <w:t>Construction underway.</w:t>
            </w:r>
          </w:p>
          <w:p w:rsidR="002C380F" w:rsidRPr="002C380F" w:rsidRDefault="002C380F" w:rsidP="002C380F">
            <w:pPr>
              <w:rPr>
                <w:rFonts w:ascii="Arial" w:hAnsi="Arial" w:cs="Arial"/>
                <w:sz w:val="24"/>
                <w:szCs w:val="24"/>
              </w:rPr>
            </w:pPr>
          </w:p>
        </w:tc>
      </w:tr>
      <w:tr w:rsidR="006B2F10" w:rsidRPr="002C380F" w:rsidTr="002C380F">
        <w:tc>
          <w:tcPr>
            <w:tcW w:w="3491"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Community Infrastructure </w:t>
            </w:r>
          </w:p>
          <w:p w:rsidR="006B2F10" w:rsidRPr="002C380F" w:rsidRDefault="006B2F10" w:rsidP="002C380F">
            <w:pPr>
              <w:rPr>
                <w:rFonts w:ascii="Arial" w:hAnsi="Arial" w:cs="Arial"/>
                <w:b/>
                <w:sz w:val="24"/>
                <w:szCs w:val="24"/>
              </w:rPr>
            </w:pPr>
          </w:p>
        </w:tc>
        <w:tc>
          <w:tcPr>
            <w:tcW w:w="2790"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2015/16 Target</w:t>
            </w:r>
          </w:p>
          <w:p w:rsidR="006B2F10" w:rsidRPr="002C380F" w:rsidRDefault="006B2F10" w:rsidP="002C380F">
            <w:pPr>
              <w:rPr>
                <w:rFonts w:ascii="Arial" w:hAnsi="Arial" w:cs="Arial"/>
                <w:sz w:val="24"/>
                <w:szCs w:val="24"/>
              </w:rPr>
            </w:pPr>
            <w:r w:rsidRPr="002C380F">
              <w:rPr>
                <w:rFonts w:ascii="Arial" w:hAnsi="Arial" w:cs="Arial"/>
                <w:b/>
                <w:sz w:val="24"/>
                <w:szCs w:val="24"/>
              </w:rPr>
              <w:t>(Q1 + Q2)</w:t>
            </w:r>
          </w:p>
        </w:tc>
        <w:tc>
          <w:tcPr>
            <w:tcW w:w="2735"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2015/16 Actual (Q1 + Q2)</w:t>
            </w:r>
          </w:p>
          <w:p w:rsidR="006B2F10" w:rsidRDefault="006B2F10" w:rsidP="002C380F">
            <w:pPr>
              <w:rPr>
                <w:rFonts w:ascii="Arial" w:hAnsi="Arial" w:cs="Arial"/>
                <w:b/>
                <w:sz w:val="24"/>
                <w:szCs w:val="24"/>
              </w:rPr>
            </w:pPr>
            <w:r w:rsidRPr="002C380F">
              <w:rPr>
                <w:rFonts w:ascii="Arial" w:hAnsi="Arial" w:cs="Arial"/>
                <w:b/>
                <w:sz w:val="24"/>
                <w:szCs w:val="24"/>
              </w:rPr>
              <w:t>Up to and including September 2015</w:t>
            </w:r>
          </w:p>
          <w:p w:rsidR="002C380F" w:rsidRPr="002C380F" w:rsidRDefault="002C380F" w:rsidP="002C380F">
            <w:pPr>
              <w:rPr>
                <w:rFonts w:ascii="Arial" w:hAnsi="Arial" w:cs="Arial"/>
                <w:sz w:val="24"/>
                <w:szCs w:val="24"/>
              </w:rPr>
            </w:pPr>
          </w:p>
        </w:tc>
      </w:tr>
      <w:tr w:rsidR="006B2F10" w:rsidRPr="002C380F" w:rsidTr="002C380F">
        <w:trPr>
          <w:trHeight w:val="1361"/>
        </w:trPr>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East Cliff Cycle Link</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Planning application determined.</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Planning application for the bridge submitted, decision awaited.</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Land and Property negotiations underway</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Funding proposal being submitted to E&amp;SB on 18</w:t>
            </w:r>
            <w:r w:rsidRPr="002C380F">
              <w:rPr>
                <w:rFonts w:ascii="Arial" w:hAnsi="Arial" w:cs="Arial"/>
                <w:sz w:val="24"/>
                <w:szCs w:val="24"/>
                <w:vertAlign w:val="superscript"/>
              </w:rPr>
              <w:t>th</w:t>
            </w:r>
            <w:r w:rsidRPr="002C380F">
              <w:rPr>
                <w:rFonts w:ascii="Arial" w:hAnsi="Arial" w:cs="Arial"/>
                <w:sz w:val="24"/>
                <w:szCs w:val="24"/>
              </w:rPr>
              <w:t xml:space="preserve"> </w:t>
            </w:r>
            <w:r w:rsidRPr="002C380F">
              <w:rPr>
                <w:rFonts w:ascii="Arial" w:hAnsi="Arial" w:cs="Arial"/>
                <w:sz w:val="24"/>
                <w:szCs w:val="24"/>
              </w:rPr>
              <w:lastRenderedPageBreak/>
              <w:t>November in</w:t>
            </w:r>
            <w:r w:rsidR="002C380F">
              <w:rPr>
                <w:rFonts w:ascii="Arial" w:hAnsi="Arial" w:cs="Arial"/>
                <w:sz w:val="24"/>
                <w:szCs w:val="24"/>
              </w:rPr>
              <w:t xml:space="preserve"> respect of the Cycle Link (see </w:t>
            </w:r>
            <w:r w:rsidRPr="002C380F">
              <w:rPr>
                <w:rFonts w:ascii="Arial" w:hAnsi="Arial" w:cs="Arial"/>
                <w:sz w:val="24"/>
                <w:szCs w:val="24"/>
              </w:rPr>
              <w:t>table 6 below).</w:t>
            </w:r>
          </w:p>
        </w:tc>
      </w:tr>
      <w:tr w:rsidR="006B2F10" w:rsidRPr="002C380F" w:rsidTr="002C380F">
        <w:tc>
          <w:tcPr>
            <w:tcW w:w="3491"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St Catherine's Park</w:t>
            </w:r>
          </w:p>
        </w:tc>
        <w:tc>
          <w:tcPr>
            <w:tcW w:w="2790"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Scheme Complete.</w:t>
            </w:r>
          </w:p>
        </w:tc>
        <w:tc>
          <w:tcPr>
            <w:tcW w:w="2735"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 xml:space="preserve">Scheme Complete. </w:t>
            </w:r>
          </w:p>
        </w:tc>
      </w:tr>
    </w:tbl>
    <w:p w:rsidR="006B2F10" w:rsidRPr="002C380F" w:rsidRDefault="006B2F10" w:rsidP="002C380F">
      <w:pPr>
        <w:spacing w:after="0" w:line="240" w:lineRule="auto"/>
        <w:ind w:left="-142"/>
        <w:jc w:val="both"/>
        <w:rPr>
          <w:rFonts w:ascii="Arial" w:hAnsi="Arial" w:cs="Arial"/>
          <w:b/>
          <w:sz w:val="24"/>
          <w:szCs w:val="24"/>
        </w:rPr>
      </w:pPr>
    </w:p>
    <w:p w:rsidR="006B2F10" w:rsidRPr="002C380F" w:rsidRDefault="006B2F10" w:rsidP="002C380F">
      <w:pPr>
        <w:spacing w:after="0" w:line="240" w:lineRule="auto"/>
        <w:jc w:val="both"/>
        <w:rPr>
          <w:rFonts w:ascii="Arial" w:hAnsi="Arial" w:cs="Arial"/>
          <w:b/>
          <w:sz w:val="24"/>
          <w:szCs w:val="24"/>
          <w:u w:val="single"/>
        </w:rPr>
      </w:pPr>
      <w:r w:rsidRPr="002C380F">
        <w:rPr>
          <w:rFonts w:ascii="Arial" w:hAnsi="Arial" w:cs="Arial"/>
          <w:b/>
          <w:sz w:val="24"/>
          <w:szCs w:val="24"/>
          <w:u w:val="single"/>
        </w:rPr>
        <w:t>Implementation Issues</w:t>
      </w:r>
    </w:p>
    <w:p w:rsidR="006B2F10" w:rsidRPr="002C380F" w:rsidRDefault="006B2F10" w:rsidP="002C380F">
      <w:pPr>
        <w:spacing w:after="0" w:line="240" w:lineRule="auto"/>
        <w:jc w:val="both"/>
        <w:rPr>
          <w:rFonts w:ascii="Arial" w:hAnsi="Arial" w:cs="Arial"/>
          <w:b/>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The table below provides an update for the E&amp;SB on implementation issues discussed at previous meetings and also includes new issues that have arisen since the last meeting. It should be noted that a number of these are emerging issues and further investigation is required to establish the full implications and potential mitigation. These will be reported in greater detail at the E&amp;SB in November.</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b/>
          <w:sz w:val="24"/>
          <w:szCs w:val="24"/>
        </w:rPr>
      </w:pPr>
      <w:r w:rsidRPr="002C380F">
        <w:rPr>
          <w:rFonts w:ascii="Arial" w:hAnsi="Arial" w:cs="Arial"/>
          <w:b/>
          <w:sz w:val="24"/>
          <w:szCs w:val="24"/>
        </w:rPr>
        <w:t>Table 6</w:t>
      </w:r>
    </w:p>
    <w:tbl>
      <w:tblPr>
        <w:tblStyle w:val="TableGrid2"/>
        <w:tblW w:w="9021" w:type="dxa"/>
        <w:tblInd w:w="-5" w:type="dxa"/>
        <w:tblLook w:val="04A0" w:firstRow="1" w:lastRow="0" w:firstColumn="1" w:lastColumn="0" w:noHBand="0" w:noVBand="1"/>
      </w:tblPr>
      <w:tblGrid>
        <w:gridCol w:w="1985"/>
        <w:gridCol w:w="3544"/>
        <w:gridCol w:w="3492"/>
      </w:tblGrid>
      <w:tr w:rsidR="006B2F10" w:rsidRPr="002C380F" w:rsidTr="002C380F">
        <w:tc>
          <w:tcPr>
            <w:tcW w:w="1985"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Scheme/Issue</w:t>
            </w:r>
          </w:p>
        </w:tc>
        <w:tc>
          <w:tcPr>
            <w:tcW w:w="3544"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Update/Latest Position</w:t>
            </w:r>
          </w:p>
        </w:tc>
        <w:tc>
          <w:tcPr>
            <w:tcW w:w="3492" w:type="dxa"/>
            <w:shd w:val="clear" w:color="auto" w:fill="auto"/>
          </w:tcPr>
          <w:p w:rsidR="006B2F10" w:rsidRPr="002C380F" w:rsidRDefault="006B2F10" w:rsidP="002C380F">
            <w:pPr>
              <w:jc w:val="both"/>
              <w:rPr>
                <w:rFonts w:ascii="Arial" w:hAnsi="Arial" w:cs="Arial"/>
                <w:b/>
                <w:sz w:val="24"/>
                <w:szCs w:val="24"/>
              </w:rPr>
            </w:pPr>
            <w:r w:rsidRPr="002C380F">
              <w:rPr>
                <w:rFonts w:ascii="Arial" w:hAnsi="Arial" w:cs="Arial"/>
                <w:b/>
                <w:sz w:val="24"/>
                <w:szCs w:val="24"/>
              </w:rPr>
              <w:t>Recommendation</w:t>
            </w:r>
          </w:p>
        </w:tc>
      </w:tr>
      <w:tr w:rsidR="006B2F10" w:rsidRPr="002C380F" w:rsidTr="002C380F">
        <w:tc>
          <w:tcPr>
            <w:tcW w:w="1985" w:type="dxa"/>
            <w:shd w:val="clear" w:color="auto" w:fill="auto"/>
          </w:tcPr>
          <w:p w:rsidR="006B2F10" w:rsidRPr="002C380F" w:rsidRDefault="006B2F10" w:rsidP="002C380F">
            <w:pPr>
              <w:pStyle w:val="ListParagraph"/>
              <w:ind w:left="0"/>
              <w:rPr>
                <w:rFonts w:ascii="Arial" w:hAnsi="Arial" w:cs="Arial"/>
                <w:sz w:val="24"/>
                <w:szCs w:val="24"/>
              </w:rPr>
            </w:pPr>
            <w:proofErr w:type="spellStart"/>
            <w:r w:rsidRPr="002C380F">
              <w:rPr>
                <w:rFonts w:ascii="Arial" w:hAnsi="Arial" w:cs="Arial"/>
                <w:b/>
                <w:sz w:val="24"/>
                <w:szCs w:val="24"/>
              </w:rPr>
              <w:t>Pickerings</w:t>
            </w:r>
            <w:proofErr w:type="spellEnd"/>
            <w:r w:rsidRPr="002C380F">
              <w:rPr>
                <w:rFonts w:ascii="Arial" w:hAnsi="Arial" w:cs="Arial"/>
                <w:b/>
                <w:sz w:val="24"/>
                <w:szCs w:val="24"/>
              </w:rPr>
              <w:t xml:space="preserve"> Farm - </w:t>
            </w:r>
            <w:r w:rsidRPr="002C380F">
              <w:rPr>
                <w:rFonts w:ascii="Arial" w:hAnsi="Arial" w:cs="Arial"/>
                <w:sz w:val="24"/>
                <w:szCs w:val="24"/>
              </w:rPr>
              <w:t>Link Road cannot be progressed to design stage until bridge options have been determined and funding issues resolved.</w:t>
            </w:r>
          </w:p>
          <w:p w:rsidR="006B2F10" w:rsidRPr="002C380F" w:rsidRDefault="006B2F10" w:rsidP="002C380F">
            <w:pPr>
              <w:pStyle w:val="ListParagraph"/>
              <w:ind w:left="0"/>
              <w:rPr>
                <w:rFonts w:ascii="Arial" w:hAnsi="Arial" w:cs="Arial"/>
                <w:sz w:val="24"/>
                <w:szCs w:val="24"/>
              </w:rPr>
            </w:pPr>
          </w:p>
          <w:p w:rsidR="006B2F10" w:rsidRPr="002C380F" w:rsidRDefault="006B2F10" w:rsidP="002C380F">
            <w:pPr>
              <w:rPr>
                <w:rFonts w:ascii="Arial" w:hAnsi="Arial" w:cs="Arial"/>
                <w:b/>
                <w:sz w:val="24"/>
                <w:szCs w:val="24"/>
              </w:rPr>
            </w:pPr>
            <w:r w:rsidRPr="002C380F">
              <w:rPr>
                <w:rFonts w:ascii="Arial" w:hAnsi="Arial" w:cs="Arial"/>
                <w:sz w:val="24"/>
                <w:szCs w:val="24"/>
              </w:rPr>
              <w:t xml:space="preserve">Arrangements will need to be in place prior to detailed </w:t>
            </w:r>
            <w:proofErr w:type="spellStart"/>
            <w:r w:rsidRPr="002C380F">
              <w:rPr>
                <w:rFonts w:ascii="Arial" w:hAnsi="Arial" w:cs="Arial"/>
                <w:sz w:val="24"/>
                <w:szCs w:val="24"/>
              </w:rPr>
              <w:t>masterplanning</w:t>
            </w:r>
            <w:proofErr w:type="spellEnd"/>
            <w:r w:rsidRPr="002C380F">
              <w:rPr>
                <w:rFonts w:ascii="Arial" w:hAnsi="Arial" w:cs="Arial"/>
                <w:sz w:val="24"/>
                <w:szCs w:val="24"/>
              </w:rPr>
              <w:t xml:space="preserve"> being completed.</w:t>
            </w:r>
          </w:p>
        </w:tc>
        <w:tc>
          <w:tcPr>
            <w:tcW w:w="3544" w:type="dxa"/>
            <w:shd w:val="clear" w:color="auto" w:fill="auto"/>
          </w:tcPr>
          <w:p w:rsidR="002C380F" w:rsidRDefault="006B2F10" w:rsidP="002C380F">
            <w:pPr>
              <w:rPr>
                <w:rFonts w:ascii="Arial" w:hAnsi="Arial" w:cs="Arial"/>
                <w:sz w:val="24"/>
                <w:szCs w:val="24"/>
              </w:rPr>
            </w:pPr>
            <w:r w:rsidRPr="002C380F">
              <w:rPr>
                <w:rFonts w:ascii="Arial" w:hAnsi="Arial" w:cs="Arial"/>
                <w:sz w:val="24"/>
                <w:szCs w:val="24"/>
              </w:rPr>
              <w:t xml:space="preserve">A number of meetings have now been held with Network Rail and progress on the site is reliant on an agreement being reached with them regarding a new bridge at Bee Lane. Network Rail has identified an agreed technical way forward but discussions are ongoing in relation to cost implications. </w:t>
            </w:r>
          </w:p>
          <w:p w:rsidR="002C380F" w:rsidRDefault="002C380F" w:rsidP="002C380F">
            <w:pPr>
              <w:rPr>
                <w:rFonts w:ascii="Arial" w:hAnsi="Arial" w:cs="Arial"/>
                <w:sz w:val="24"/>
                <w:szCs w:val="24"/>
              </w:rPr>
            </w:pPr>
          </w:p>
          <w:p w:rsidR="002C380F" w:rsidRDefault="002C380F"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A meeting was held between SRBC, LCC, HCA and Network Rail in early September where it was agreed that additional information would be provided to Network Rail on highways aspects with a view to another meeting being held in the Autumn. </w:t>
            </w:r>
          </w:p>
        </w:tc>
        <w:tc>
          <w:tcPr>
            <w:tcW w:w="3492"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To be noted.</w:t>
            </w:r>
          </w:p>
        </w:tc>
      </w:tr>
      <w:tr w:rsidR="006B2F10" w:rsidRPr="002C380F" w:rsidTr="002C380F">
        <w:tc>
          <w:tcPr>
            <w:tcW w:w="1985" w:type="dxa"/>
            <w:shd w:val="clear" w:color="auto" w:fill="auto"/>
          </w:tcPr>
          <w:p w:rsidR="006B2F10" w:rsidRDefault="006B2F10" w:rsidP="002C380F">
            <w:pPr>
              <w:rPr>
                <w:rFonts w:ascii="Arial" w:hAnsi="Arial" w:cs="Arial"/>
                <w:sz w:val="24"/>
                <w:szCs w:val="24"/>
              </w:rPr>
            </w:pPr>
            <w:r w:rsidRPr="002C380F">
              <w:rPr>
                <w:rFonts w:ascii="Arial" w:hAnsi="Arial" w:cs="Arial"/>
                <w:b/>
                <w:sz w:val="24"/>
                <w:szCs w:val="24"/>
              </w:rPr>
              <w:t xml:space="preserve">Croston Road Spine Road – </w:t>
            </w:r>
            <w:r w:rsidRPr="002C380F">
              <w:rPr>
                <w:rFonts w:ascii="Arial" w:hAnsi="Arial" w:cs="Arial"/>
                <w:sz w:val="24"/>
                <w:szCs w:val="24"/>
              </w:rPr>
              <w:t xml:space="preserve">Land acquisition relating to the delivery of the full spine road is more complex than originally anticipated and </w:t>
            </w:r>
            <w:r w:rsidRPr="002C380F">
              <w:rPr>
                <w:rFonts w:ascii="Arial" w:hAnsi="Arial" w:cs="Arial"/>
                <w:sz w:val="24"/>
                <w:szCs w:val="24"/>
              </w:rPr>
              <w:lastRenderedPageBreak/>
              <w:t>have not yet concluded.</w:t>
            </w:r>
          </w:p>
          <w:p w:rsidR="002C380F" w:rsidRPr="002C380F" w:rsidRDefault="002C380F" w:rsidP="002C380F">
            <w:pPr>
              <w:rPr>
                <w:rFonts w:ascii="Arial" w:hAnsi="Arial" w:cs="Arial"/>
                <w:b/>
                <w:sz w:val="24"/>
                <w:szCs w:val="24"/>
              </w:rPr>
            </w:pPr>
          </w:p>
        </w:tc>
        <w:tc>
          <w:tcPr>
            <w:tcW w:w="3544"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The delivery of the spine road will now be undertaken in phases as and when the land negotiations have concluded for each section.  Work on the first section of the road that provides access to the Northern site is due to commence imminently.</w:t>
            </w:r>
          </w:p>
          <w:p w:rsidR="006B2F10" w:rsidRPr="002C380F" w:rsidRDefault="006B2F10" w:rsidP="002C380F">
            <w:pPr>
              <w:rPr>
                <w:rFonts w:ascii="Arial" w:hAnsi="Arial" w:cs="Arial"/>
                <w:sz w:val="24"/>
                <w:szCs w:val="24"/>
              </w:rPr>
            </w:pPr>
          </w:p>
        </w:tc>
        <w:tc>
          <w:tcPr>
            <w:tcW w:w="3492"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To be noted.</w:t>
            </w:r>
          </w:p>
        </w:tc>
      </w:tr>
      <w:tr w:rsidR="006B2F10" w:rsidRPr="002C380F" w:rsidTr="002C380F">
        <w:tc>
          <w:tcPr>
            <w:tcW w:w="1985" w:type="dxa"/>
            <w:shd w:val="clear" w:color="auto" w:fill="auto"/>
          </w:tcPr>
          <w:p w:rsidR="006B2F10" w:rsidRPr="002C380F" w:rsidRDefault="006B2F10" w:rsidP="002C380F">
            <w:pPr>
              <w:rPr>
                <w:rFonts w:ascii="Arial" w:hAnsi="Arial" w:cs="Arial"/>
                <w:sz w:val="24"/>
                <w:szCs w:val="24"/>
              </w:rPr>
            </w:pPr>
            <w:proofErr w:type="spellStart"/>
            <w:r w:rsidRPr="002C380F">
              <w:rPr>
                <w:rFonts w:ascii="Arial" w:hAnsi="Arial" w:cs="Arial"/>
                <w:b/>
                <w:sz w:val="24"/>
                <w:szCs w:val="24"/>
              </w:rPr>
              <w:t>Fishergate</w:t>
            </w:r>
            <w:proofErr w:type="spellEnd"/>
            <w:r w:rsidRPr="002C380F">
              <w:rPr>
                <w:rFonts w:ascii="Arial" w:hAnsi="Arial" w:cs="Arial"/>
                <w:b/>
                <w:sz w:val="24"/>
                <w:szCs w:val="24"/>
              </w:rPr>
              <w:t xml:space="preserve"> </w:t>
            </w:r>
            <w:proofErr w:type="spellStart"/>
            <w:r w:rsidRPr="002C380F">
              <w:rPr>
                <w:rFonts w:ascii="Arial" w:hAnsi="Arial" w:cs="Arial"/>
                <w:b/>
                <w:sz w:val="24"/>
                <w:szCs w:val="24"/>
              </w:rPr>
              <w:t>Winckley</w:t>
            </w:r>
            <w:proofErr w:type="spellEnd"/>
            <w:r w:rsidRPr="002C380F">
              <w:rPr>
                <w:rFonts w:ascii="Arial" w:hAnsi="Arial" w:cs="Arial"/>
                <w:b/>
                <w:sz w:val="24"/>
                <w:szCs w:val="24"/>
              </w:rPr>
              <w:t xml:space="preserve"> Square THI – Cannon Street </w:t>
            </w:r>
          </w:p>
        </w:tc>
        <w:tc>
          <w:tcPr>
            <w:tcW w:w="3544"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Scheme costs now confirmed leaving a £79,000 shortfall.  A maximum sum of £271,487 is available from the THI programme for public realm works.</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iCs/>
                <w:sz w:val="24"/>
                <w:szCs w:val="24"/>
              </w:rPr>
              <w:t>The public realm works are an approved part of the Townscape Heritage Initiative (THI) programme that the Heritage Lottery fund (HLF) will require to be delivered. The investment in the public realm is critical to ensuring the delivery of the property improvement schemes for the street which forms another key element of the THI project.</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It is proposed to use the monies (80,000) identified for the Guild Wheel Improvements works at  Blackpool Road, as this section of the Guild Wheel will be used as the haul road for the construction of the PWD and as such it would not be appropriate to upgrade the link in this location at this time.  It is likely that this link will be improved as part of either reinstatement works or as a new link as part of the proposed outer Guild Wheel loop.</w:t>
            </w:r>
            <w:r w:rsidRPr="002C380F">
              <w:rPr>
                <w:rFonts w:ascii="Arial" w:hAnsi="Arial" w:cs="Arial"/>
                <w:i/>
                <w:iCs/>
                <w:sz w:val="24"/>
                <w:szCs w:val="24"/>
              </w:rPr>
              <w:t xml:space="preserve"> </w:t>
            </w:r>
          </w:p>
        </w:tc>
        <w:tc>
          <w:tcPr>
            <w:tcW w:w="3492"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That the £80,000 identified for the Guild Wheel – Blackpool Road works, be reallocated to enable the Cannon street works to go ahead.</w:t>
            </w:r>
          </w:p>
        </w:tc>
      </w:tr>
      <w:tr w:rsidR="006B2F10" w:rsidRPr="002C380F" w:rsidTr="002C380F">
        <w:tc>
          <w:tcPr>
            <w:tcW w:w="1985" w:type="dxa"/>
            <w:shd w:val="clear" w:color="auto" w:fill="auto"/>
          </w:tcPr>
          <w:p w:rsidR="006B2F10" w:rsidRPr="002C380F" w:rsidRDefault="006B2F10" w:rsidP="002C380F">
            <w:pPr>
              <w:rPr>
                <w:rFonts w:ascii="Arial" w:hAnsi="Arial" w:cs="Arial"/>
                <w:b/>
                <w:sz w:val="24"/>
                <w:szCs w:val="24"/>
              </w:rPr>
            </w:pPr>
            <w:r w:rsidRPr="002C380F">
              <w:rPr>
                <w:rFonts w:ascii="Arial" w:hAnsi="Arial" w:cs="Arial"/>
                <w:b/>
                <w:sz w:val="24"/>
                <w:szCs w:val="24"/>
              </w:rPr>
              <w:t>East Cliff Cycle Link and Bridge</w:t>
            </w:r>
          </w:p>
          <w:p w:rsidR="006B2F10" w:rsidRPr="002C380F" w:rsidRDefault="006B2F10" w:rsidP="002C380F">
            <w:pPr>
              <w:rPr>
                <w:rFonts w:ascii="Arial" w:hAnsi="Arial" w:cs="Arial"/>
                <w:b/>
                <w:sz w:val="24"/>
                <w:szCs w:val="24"/>
              </w:rPr>
            </w:pPr>
          </w:p>
        </w:tc>
        <w:tc>
          <w:tcPr>
            <w:tcW w:w="3544"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The cost of this scheme is being reviewed. There is a possible shortfall in funding.  The cycle link is currently being designed which will confirm how much money is required to deliver the scheme, at which point a report will be brought to the E&amp;SB for consideration.</w:t>
            </w:r>
          </w:p>
        </w:tc>
        <w:tc>
          <w:tcPr>
            <w:tcW w:w="3492" w:type="dxa"/>
            <w:shd w:val="clear" w:color="auto" w:fill="auto"/>
          </w:tcPr>
          <w:p w:rsidR="006B2F10" w:rsidRPr="002C380F" w:rsidRDefault="006B2F10" w:rsidP="002C380F">
            <w:pPr>
              <w:rPr>
                <w:rFonts w:ascii="Arial" w:hAnsi="Arial" w:cs="Arial"/>
                <w:sz w:val="24"/>
                <w:szCs w:val="24"/>
              </w:rPr>
            </w:pPr>
            <w:r w:rsidRPr="002C380F">
              <w:rPr>
                <w:rFonts w:ascii="Arial" w:hAnsi="Arial" w:cs="Arial"/>
                <w:sz w:val="24"/>
                <w:szCs w:val="24"/>
              </w:rPr>
              <w:t>To be noted.</w:t>
            </w:r>
          </w:p>
        </w:tc>
      </w:tr>
    </w:tbl>
    <w:p w:rsidR="006B2F10" w:rsidRPr="002C380F" w:rsidRDefault="006B2F10" w:rsidP="002C380F">
      <w:pPr>
        <w:spacing w:after="0" w:line="240" w:lineRule="auto"/>
        <w:jc w:val="both"/>
        <w:rPr>
          <w:rFonts w:ascii="Arial" w:hAnsi="Arial" w:cs="Arial"/>
          <w:b/>
          <w:sz w:val="24"/>
          <w:szCs w:val="24"/>
        </w:rPr>
      </w:pPr>
    </w:p>
    <w:p w:rsidR="006B2F10" w:rsidRPr="002C380F" w:rsidRDefault="006B2F10" w:rsidP="002C380F">
      <w:pPr>
        <w:spacing w:after="0" w:line="240" w:lineRule="auto"/>
        <w:jc w:val="both"/>
        <w:rPr>
          <w:rFonts w:ascii="Arial" w:hAnsi="Arial" w:cs="Arial"/>
          <w:b/>
          <w:sz w:val="24"/>
          <w:szCs w:val="24"/>
          <w:u w:val="single"/>
        </w:rPr>
      </w:pPr>
      <w:r w:rsidRPr="002C380F">
        <w:rPr>
          <w:rFonts w:ascii="Arial" w:hAnsi="Arial" w:cs="Arial"/>
          <w:b/>
          <w:sz w:val="24"/>
          <w:szCs w:val="24"/>
          <w:u w:val="single"/>
        </w:rPr>
        <w:lastRenderedPageBreak/>
        <w:t xml:space="preserve">SECTION F: RISK MANAGEMENT  </w:t>
      </w:r>
    </w:p>
    <w:p w:rsidR="006B2F10" w:rsidRPr="002C380F" w:rsidRDefault="006B2F10" w:rsidP="002C380F">
      <w:pPr>
        <w:spacing w:after="0" w:line="240" w:lineRule="auto"/>
        <w:jc w:val="both"/>
        <w:rPr>
          <w:rFonts w:ascii="Arial" w:hAnsi="Arial" w:cs="Arial"/>
          <w:b/>
          <w:sz w:val="24"/>
          <w:szCs w:val="24"/>
          <w:u w:val="single"/>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The key City Deal Programme risks are being managed primarily through a rolling 3 year Infrastructure Delivery Plan and through rigorous project management methods.</w:t>
      </w:r>
    </w:p>
    <w:p w:rsidR="006B2F10" w:rsidRPr="002C380F" w:rsidRDefault="006B2F10" w:rsidP="002C380F">
      <w:pPr>
        <w:spacing w:after="0" w:line="240" w:lineRule="auto"/>
        <w:jc w:val="both"/>
        <w:rPr>
          <w:rFonts w:ascii="Arial" w:hAnsi="Arial" w:cs="Arial"/>
          <w:sz w:val="24"/>
          <w:szCs w:val="24"/>
        </w:rPr>
      </w:pPr>
    </w:p>
    <w:p w:rsidR="006B2F10" w:rsidRPr="002C380F" w:rsidRDefault="006B2F10" w:rsidP="002C380F">
      <w:pPr>
        <w:spacing w:after="0" w:line="240" w:lineRule="auto"/>
        <w:jc w:val="both"/>
        <w:rPr>
          <w:rFonts w:ascii="Arial" w:hAnsi="Arial" w:cs="Arial"/>
          <w:sz w:val="24"/>
          <w:szCs w:val="24"/>
        </w:rPr>
      </w:pPr>
      <w:r w:rsidRPr="002C380F">
        <w:rPr>
          <w:rFonts w:ascii="Arial" w:hAnsi="Arial" w:cs="Arial"/>
          <w:sz w:val="24"/>
          <w:szCs w:val="24"/>
        </w:rPr>
        <w:t xml:space="preserve">The Executive and Stewardship Board is aware that national policy changes and challenges have the potential to impact upon the commercial and housing market, and ultimately the delivery and sale of housing in the City Deal area. Expert advisors are retained by the City Deal partnership to ensure that local mitigation measures against potential adverse effects are fully explored. Part of this mitigation is working with HMG and HCA in helping to deliver their planning-led housing market policies, in particular accessing Starter Homes finance and funding opportunities and the potential for Direct Delivery.               </w:t>
      </w:r>
    </w:p>
    <w:p w:rsidR="006B2F10" w:rsidRPr="002C380F" w:rsidRDefault="006B2F10" w:rsidP="002C380F">
      <w:pPr>
        <w:spacing w:after="0" w:line="240" w:lineRule="auto"/>
        <w:jc w:val="both"/>
        <w:rPr>
          <w:rFonts w:ascii="Arial" w:hAnsi="Arial" w:cs="Arial"/>
          <w:sz w:val="24"/>
          <w:szCs w:val="24"/>
        </w:rPr>
      </w:pPr>
    </w:p>
    <w:p w:rsidR="004D7428" w:rsidRDefault="004D7428">
      <w:pPr>
        <w:rPr>
          <w:rFonts w:ascii="Arial" w:hAnsi="Arial" w:cs="Arial"/>
          <w:b/>
          <w:sz w:val="24"/>
          <w:szCs w:val="24"/>
          <w:u w:val="single"/>
        </w:rPr>
      </w:pPr>
      <w:r>
        <w:rPr>
          <w:rFonts w:ascii="Arial" w:hAnsi="Arial" w:cs="Arial"/>
          <w:b/>
          <w:sz w:val="24"/>
          <w:szCs w:val="24"/>
          <w:u w:val="single"/>
        </w:rPr>
        <w:br w:type="page"/>
      </w:r>
    </w:p>
    <w:p w:rsidR="006B2F10" w:rsidRPr="002C380F" w:rsidRDefault="006B2F10" w:rsidP="002C380F">
      <w:pPr>
        <w:spacing w:after="0" w:line="240" w:lineRule="auto"/>
        <w:jc w:val="both"/>
        <w:rPr>
          <w:rFonts w:ascii="Arial" w:hAnsi="Arial" w:cs="Arial"/>
          <w:b/>
          <w:sz w:val="24"/>
          <w:szCs w:val="24"/>
          <w:u w:val="single"/>
        </w:rPr>
      </w:pPr>
      <w:r w:rsidRPr="002C380F">
        <w:rPr>
          <w:rFonts w:ascii="Arial" w:hAnsi="Arial" w:cs="Arial"/>
          <w:b/>
          <w:sz w:val="24"/>
          <w:szCs w:val="24"/>
          <w:u w:val="single"/>
        </w:rPr>
        <w:t>Planning Risk</w:t>
      </w:r>
    </w:p>
    <w:tbl>
      <w:tblPr>
        <w:tblStyle w:val="TableGrid"/>
        <w:tblW w:w="0" w:type="auto"/>
        <w:tblLayout w:type="fixed"/>
        <w:tblLook w:val="04A0" w:firstRow="1" w:lastRow="0" w:firstColumn="1" w:lastColumn="0" w:noHBand="0" w:noVBand="1"/>
      </w:tblPr>
      <w:tblGrid>
        <w:gridCol w:w="2263"/>
        <w:gridCol w:w="3544"/>
        <w:gridCol w:w="3209"/>
      </w:tblGrid>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Risk </w:t>
            </w:r>
          </w:p>
        </w:tc>
        <w:tc>
          <w:tcPr>
            <w:tcW w:w="3544"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Mitigation </w:t>
            </w:r>
          </w:p>
        </w:tc>
        <w:tc>
          <w:tcPr>
            <w:tcW w:w="320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Update  </w:t>
            </w:r>
          </w:p>
        </w:tc>
      </w:tr>
      <w:tr w:rsidR="006B2F10" w:rsidRPr="002C380F" w:rsidTr="002C380F">
        <w:trPr>
          <w:trHeight w:val="1560"/>
        </w:trPr>
        <w:tc>
          <w:tcPr>
            <w:tcW w:w="2263" w:type="dxa"/>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Planning Framework </w:t>
            </w:r>
          </w:p>
        </w:tc>
        <w:tc>
          <w:tcPr>
            <w:tcW w:w="3544" w:type="dxa"/>
            <w:tcBorders>
              <w:top w:val="single" w:sz="4" w:space="0" w:color="auto"/>
              <w:left w:val="single" w:sz="4" w:space="0" w:color="auto"/>
              <w:right w:val="single" w:sz="4" w:space="0" w:color="auto"/>
            </w:tcBorders>
          </w:tcPr>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Central Lancashire Core </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Strategy </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Local Plan Preston &amp; South</w:t>
            </w:r>
          </w:p>
          <w:p w:rsidR="006B2F10" w:rsidRPr="002C380F" w:rsidRDefault="006B2F10" w:rsidP="002C380F">
            <w:pPr>
              <w:ind w:left="720" w:hanging="720"/>
              <w:rPr>
                <w:rFonts w:ascii="Arial" w:hAnsi="Arial" w:cs="Arial"/>
                <w:sz w:val="24"/>
                <w:szCs w:val="24"/>
              </w:rPr>
            </w:pPr>
            <w:proofErr w:type="spellStart"/>
            <w:r w:rsidRPr="002C380F">
              <w:rPr>
                <w:rFonts w:ascii="Arial" w:hAnsi="Arial" w:cs="Arial"/>
                <w:sz w:val="24"/>
                <w:szCs w:val="24"/>
              </w:rPr>
              <w:t>Ribble</w:t>
            </w:r>
            <w:proofErr w:type="spellEnd"/>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Community Infrastructure Levy</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(CIL) </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North West Preston</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development sites Masterplan </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City Centre Action Plan</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Site masterplans for large sites  </w:t>
            </w:r>
          </w:p>
          <w:p w:rsidR="006B2F10" w:rsidRPr="002C380F" w:rsidRDefault="006B2F10" w:rsidP="002C380F">
            <w:pPr>
              <w:ind w:left="720" w:hanging="720"/>
              <w:rPr>
                <w:rFonts w:ascii="Arial" w:hAnsi="Arial" w:cs="Arial"/>
                <w:sz w:val="24"/>
                <w:szCs w:val="24"/>
              </w:rPr>
            </w:pPr>
          </w:p>
        </w:tc>
        <w:tc>
          <w:tcPr>
            <w:tcW w:w="3209" w:type="dxa"/>
            <w:tcBorders>
              <w:top w:val="single" w:sz="4" w:space="0" w:color="auto"/>
              <w:left w:val="single" w:sz="4" w:space="0" w:color="auto"/>
              <w:right w:val="single" w:sz="4" w:space="0" w:color="auto"/>
            </w:tcBorders>
          </w:tcPr>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Action Plan now adopted </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Consultation on the</w:t>
            </w:r>
          </w:p>
          <w:p w:rsidR="006B2F10" w:rsidRPr="002C380F" w:rsidRDefault="006B2F10" w:rsidP="002C380F">
            <w:pPr>
              <w:ind w:left="720" w:hanging="720"/>
              <w:rPr>
                <w:rFonts w:ascii="Arial" w:hAnsi="Arial" w:cs="Arial"/>
                <w:sz w:val="24"/>
                <w:szCs w:val="24"/>
              </w:rPr>
            </w:pPr>
            <w:proofErr w:type="spellStart"/>
            <w:r w:rsidRPr="002C380F">
              <w:rPr>
                <w:rFonts w:ascii="Arial" w:hAnsi="Arial" w:cs="Arial"/>
                <w:sz w:val="24"/>
                <w:szCs w:val="24"/>
              </w:rPr>
              <w:t>Altcar</w:t>
            </w:r>
            <w:proofErr w:type="spellEnd"/>
            <w:r w:rsidRPr="002C380F">
              <w:rPr>
                <w:rFonts w:ascii="Arial" w:hAnsi="Arial" w:cs="Arial"/>
                <w:sz w:val="24"/>
                <w:szCs w:val="24"/>
              </w:rPr>
              <w:t xml:space="preserve"> Lane masterplan</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has been completed,</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and outline planning</w:t>
            </w:r>
          </w:p>
          <w:p w:rsidR="006B2F10" w:rsidRPr="002C380F" w:rsidRDefault="006B2F10" w:rsidP="002C380F">
            <w:pPr>
              <w:ind w:left="720" w:hanging="720"/>
              <w:rPr>
                <w:rFonts w:ascii="Arial" w:hAnsi="Arial" w:cs="Arial"/>
                <w:sz w:val="24"/>
                <w:szCs w:val="24"/>
              </w:rPr>
            </w:pPr>
            <w:proofErr w:type="gramStart"/>
            <w:r w:rsidRPr="002C380F">
              <w:rPr>
                <w:rFonts w:ascii="Arial" w:hAnsi="Arial" w:cs="Arial"/>
                <w:sz w:val="24"/>
                <w:szCs w:val="24"/>
              </w:rPr>
              <w:t>consent</w:t>
            </w:r>
            <w:proofErr w:type="gramEnd"/>
            <w:r w:rsidRPr="002C380F">
              <w:rPr>
                <w:rFonts w:ascii="Arial" w:hAnsi="Arial" w:cs="Arial"/>
                <w:sz w:val="24"/>
                <w:szCs w:val="24"/>
              </w:rPr>
              <w:t xml:space="preserve"> is in place.</w:t>
            </w:r>
          </w:p>
        </w:tc>
      </w:tr>
      <w:tr w:rsidR="006B2F10" w:rsidRPr="002C380F" w:rsidTr="002C380F">
        <w:trPr>
          <w:trHeight w:val="2340"/>
        </w:trPr>
        <w:tc>
          <w:tcPr>
            <w:tcW w:w="2263" w:type="dxa"/>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Planning permissions not being consented and/or progressed through the planning system sufficiently quickly </w:t>
            </w:r>
          </w:p>
        </w:tc>
        <w:tc>
          <w:tcPr>
            <w:tcW w:w="3544" w:type="dxa"/>
            <w:tcBorders>
              <w:top w:val="single" w:sz="4" w:space="0" w:color="auto"/>
              <w:left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 xml:space="preserve">Planning consents in place </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Milestones in place for all housing and commercial sites</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Progress on the discharge of conditions for large housing site planning applications </w:t>
            </w:r>
          </w:p>
        </w:tc>
        <w:tc>
          <w:tcPr>
            <w:tcW w:w="3209" w:type="dxa"/>
            <w:tcBorders>
              <w:top w:val="single" w:sz="4" w:space="0" w:color="auto"/>
              <w:left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Consents in place </w:t>
            </w:r>
          </w:p>
          <w:p w:rsidR="006B2F10" w:rsidRPr="002C380F" w:rsidRDefault="006B2F10" w:rsidP="002C380F">
            <w:pPr>
              <w:rPr>
                <w:rFonts w:ascii="Arial" w:hAnsi="Arial" w:cs="Arial"/>
                <w:sz w:val="24"/>
                <w:szCs w:val="24"/>
              </w:rPr>
            </w:pPr>
            <w:r w:rsidRPr="002C380F">
              <w:rPr>
                <w:rFonts w:ascii="Arial" w:hAnsi="Arial" w:cs="Arial"/>
                <w:sz w:val="24"/>
                <w:szCs w:val="24"/>
              </w:rPr>
              <w:t xml:space="preserve">for 9, 113 units </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Ongoing monitoring in place to progress complex land</w:t>
            </w:r>
          </w:p>
          <w:p w:rsidR="006B2F10" w:rsidRPr="002C380F" w:rsidRDefault="006B2F10" w:rsidP="002C380F">
            <w:pPr>
              <w:rPr>
                <w:rFonts w:ascii="Arial" w:hAnsi="Arial" w:cs="Arial"/>
                <w:sz w:val="24"/>
                <w:szCs w:val="24"/>
              </w:rPr>
            </w:pPr>
            <w:r w:rsidRPr="002C380F">
              <w:rPr>
                <w:rFonts w:ascii="Arial" w:hAnsi="Arial" w:cs="Arial"/>
                <w:sz w:val="24"/>
                <w:szCs w:val="24"/>
              </w:rPr>
              <w:t>deal negotiations and site</w:t>
            </w:r>
          </w:p>
          <w:p w:rsidR="006B2F10" w:rsidRPr="002C380F" w:rsidRDefault="006B2F10" w:rsidP="002C380F">
            <w:pPr>
              <w:rPr>
                <w:rFonts w:ascii="Arial" w:hAnsi="Arial" w:cs="Arial"/>
                <w:sz w:val="24"/>
                <w:szCs w:val="24"/>
              </w:rPr>
            </w:pPr>
            <w:r w:rsidRPr="002C380F">
              <w:rPr>
                <w:rFonts w:ascii="Arial" w:hAnsi="Arial" w:cs="Arial"/>
                <w:sz w:val="24"/>
                <w:szCs w:val="24"/>
              </w:rPr>
              <w:t>specific matters such as ransom negotiations; or need to secure access</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Work is ongoing as part of the Housing and Planning Delivery Action Plan. </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tc>
      </w:tr>
      <w:tr w:rsidR="006B2F10" w:rsidRPr="002C380F" w:rsidTr="002C380F">
        <w:trPr>
          <w:trHeight w:val="1230"/>
        </w:trPr>
        <w:tc>
          <w:tcPr>
            <w:tcW w:w="2263" w:type="dxa"/>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Planning officer capacity </w:t>
            </w:r>
          </w:p>
        </w:tc>
        <w:tc>
          <w:tcPr>
            <w:tcW w:w="354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Housing Zone status </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Established Preston City </w:t>
            </w:r>
          </w:p>
        </w:tc>
        <w:tc>
          <w:tcPr>
            <w:tcW w:w="3209" w:type="dxa"/>
            <w:tcBorders>
              <w:top w:val="single" w:sz="4" w:space="0" w:color="auto"/>
              <w:left w:val="single" w:sz="4" w:space="0" w:color="auto"/>
              <w:right w:val="single" w:sz="4" w:space="0" w:color="auto"/>
            </w:tcBorders>
          </w:tcPr>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City Living Strategy</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commissioned</w:t>
            </w:r>
          </w:p>
          <w:p w:rsidR="006B2F10" w:rsidRPr="002C380F" w:rsidRDefault="006B2F10" w:rsidP="002C380F">
            <w:pPr>
              <w:ind w:left="720" w:hanging="720"/>
              <w:rPr>
                <w:rFonts w:ascii="Arial" w:hAnsi="Arial" w:cs="Arial"/>
                <w:sz w:val="24"/>
                <w:szCs w:val="24"/>
              </w:rPr>
            </w:pP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Site specific reports</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commissioned </w:t>
            </w:r>
          </w:p>
        </w:tc>
      </w:tr>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Infrastructure  </w:t>
            </w:r>
          </w:p>
        </w:tc>
        <w:tc>
          <w:tcPr>
            <w:tcW w:w="3544"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NW Preston Infrastructure</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 xml:space="preserve">Group established </w:t>
            </w:r>
          </w:p>
        </w:tc>
        <w:tc>
          <w:tcPr>
            <w:tcW w:w="320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720"/>
              <w:rPr>
                <w:rFonts w:ascii="Arial" w:hAnsi="Arial" w:cs="Arial"/>
                <w:sz w:val="24"/>
                <w:szCs w:val="24"/>
              </w:rPr>
            </w:pPr>
          </w:p>
        </w:tc>
      </w:tr>
    </w:tbl>
    <w:p w:rsidR="006B2F10" w:rsidRPr="002C380F" w:rsidRDefault="006B2F10" w:rsidP="002C380F">
      <w:pPr>
        <w:spacing w:after="0" w:line="240" w:lineRule="auto"/>
        <w:jc w:val="both"/>
        <w:rPr>
          <w:rFonts w:ascii="Arial" w:hAnsi="Arial" w:cs="Arial"/>
          <w:sz w:val="24"/>
          <w:szCs w:val="24"/>
        </w:rPr>
      </w:pPr>
    </w:p>
    <w:p w:rsidR="004D7428" w:rsidRDefault="004D7428" w:rsidP="002C380F">
      <w:pPr>
        <w:spacing w:after="0" w:line="240" w:lineRule="auto"/>
        <w:rPr>
          <w:rFonts w:ascii="Arial" w:hAnsi="Arial" w:cs="Arial"/>
          <w:b/>
          <w:sz w:val="24"/>
          <w:szCs w:val="24"/>
          <w:u w:val="single"/>
        </w:rPr>
      </w:pPr>
    </w:p>
    <w:p w:rsidR="004D7428" w:rsidRDefault="004D7428" w:rsidP="002C380F">
      <w:pPr>
        <w:spacing w:after="0" w:line="240" w:lineRule="auto"/>
        <w:rPr>
          <w:rFonts w:ascii="Arial" w:hAnsi="Arial" w:cs="Arial"/>
          <w:b/>
          <w:sz w:val="24"/>
          <w:szCs w:val="24"/>
          <w:u w:val="single"/>
        </w:rPr>
      </w:pPr>
    </w:p>
    <w:p w:rsidR="004D7428" w:rsidRDefault="004D7428" w:rsidP="002C380F">
      <w:pPr>
        <w:spacing w:after="0" w:line="240" w:lineRule="auto"/>
        <w:rPr>
          <w:rFonts w:ascii="Arial" w:hAnsi="Arial" w:cs="Arial"/>
          <w:b/>
          <w:sz w:val="24"/>
          <w:szCs w:val="24"/>
          <w:u w:val="single"/>
        </w:rPr>
      </w:pPr>
    </w:p>
    <w:p w:rsidR="006B2F10" w:rsidRPr="002C380F" w:rsidRDefault="006B2F10" w:rsidP="002C380F">
      <w:pPr>
        <w:spacing w:after="0" w:line="240" w:lineRule="auto"/>
        <w:rPr>
          <w:rFonts w:ascii="Arial" w:hAnsi="Arial" w:cs="Arial"/>
          <w:b/>
          <w:sz w:val="24"/>
          <w:szCs w:val="24"/>
          <w:u w:val="single"/>
        </w:rPr>
      </w:pPr>
      <w:r w:rsidRPr="002C380F">
        <w:rPr>
          <w:rFonts w:ascii="Arial" w:hAnsi="Arial" w:cs="Arial"/>
          <w:b/>
          <w:sz w:val="24"/>
          <w:szCs w:val="24"/>
          <w:u w:val="single"/>
        </w:rPr>
        <w:t>Commercial risks</w:t>
      </w:r>
    </w:p>
    <w:p w:rsidR="006B2F10" w:rsidRPr="002C380F" w:rsidRDefault="006B2F10" w:rsidP="002C380F">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263"/>
        <w:gridCol w:w="3969"/>
        <w:gridCol w:w="2784"/>
      </w:tblGrid>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Risk </w:t>
            </w:r>
          </w:p>
        </w:tc>
        <w:tc>
          <w:tcPr>
            <w:tcW w:w="3969"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Mitigation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Update </w:t>
            </w:r>
          </w:p>
        </w:tc>
      </w:tr>
      <w:tr w:rsidR="006B2F10" w:rsidRPr="002C380F" w:rsidTr="002C380F">
        <w:trPr>
          <w:trHeight w:val="1470"/>
        </w:trPr>
        <w:tc>
          <w:tcPr>
            <w:tcW w:w="2263" w:type="dxa"/>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Planning support </w:t>
            </w: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Enterprise Zone Local Development Order</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roofErr w:type="spellStart"/>
            <w:r w:rsidRPr="002C380F">
              <w:rPr>
                <w:rFonts w:ascii="Arial" w:hAnsi="Arial" w:cs="Arial"/>
                <w:sz w:val="24"/>
                <w:szCs w:val="24"/>
              </w:rPr>
              <w:t>Cuerden</w:t>
            </w:r>
            <w:proofErr w:type="spellEnd"/>
            <w:r w:rsidRPr="002C380F">
              <w:rPr>
                <w:rFonts w:ascii="Arial" w:hAnsi="Arial" w:cs="Arial"/>
                <w:sz w:val="24"/>
                <w:szCs w:val="24"/>
              </w:rPr>
              <w:t xml:space="preserve"> employment site Masterplan approved/SRBC's Site Allocations Plan approved </w:t>
            </w:r>
          </w:p>
        </w:tc>
        <w:tc>
          <w:tcPr>
            <w:tcW w:w="2784" w:type="dxa"/>
            <w:tcBorders>
              <w:top w:val="single" w:sz="4" w:space="0" w:color="auto"/>
              <w:left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No planning related issues</w:t>
            </w:r>
          </w:p>
          <w:p w:rsidR="006B2F10" w:rsidRPr="002C380F" w:rsidRDefault="006B2F10" w:rsidP="002C380F">
            <w:pPr>
              <w:rPr>
                <w:rFonts w:ascii="Arial" w:hAnsi="Arial" w:cs="Arial"/>
                <w:sz w:val="24"/>
                <w:szCs w:val="24"/>
              </w:rPr>
            </w:pPr>
            <w:r w:rsidRPr="002C380F">
              <w:rPr>
                <w:rFonts w:ascii="Arial" w:hAnsi="Arial" w:cs="Arial"/>
                <w:sz w:val="24"/>
                <w:szCs w:val="24"/>
              </w:rPr>
              <w:t xml:space="preserve"> </w:t>
            </w:r>
          </w:p>
          <w:p w:rsidR="006B2F10" w:rsidRPr="002C380F" w:rsidRDefault="006B2F10" w:rsidP="002C380F">
            <w:pPr>
              <w:rPr>
                <w:rFonts w:ascii="Arial" w:hAnsi="Arial" w:cs="Arial"/>
                <w:sz w:val="24"/>
                <w:szCs w:val="24"/>
              </w:rPr>
            </w:pPr>
            <w:r w:rsidRPr="002C380F">
              <w:rPr>
                <w:rFonts w:ascii="Arial" w:hAnsi="Arial" w:cs="Arial"/>
                <w:sz w:val="24"/>
                <w:szCs w:val="24"/>
              </w:rPr>
              <w:t>Planning application submission on track</w:t>
            </w:r>
          </w:p>
        </w:tc>
      </w:tr>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Low commercial values </w:t>
            </w:r>
          </w:p>
        </w:tc>
        <w:tc>
          <w:tcPr>
            <w:tcW w:w="3969"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City Deal Marketing &amp; Communications Strategy</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LEP-wide strategic marketing activity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 xml:space="preserve">Implementation of   strategic marketing activity. </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Ongoing marketing activity</w:t>
            </w:r>
          </w:p>
        </w:tc>
      </w:tr>
      <w:tr w:rsidR="006B2F10" w:rsidRPr="002C380F" w:rsidTr="002C380F">
        <w:trPr>
          <w:trHeight w:val="1527"/>
        </w:trPr>
        <w:tc>
          <w:tcPr>
            <w:tcW w:w="2263" w:type="dxa"/>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Supply phasing </w:t>
            </w: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Partner working groups, partnerships and alliances have been formed to share market intelligence and support the phasing of development activity</w:t>
            </w:r>
          </w:p>
        </w:tc>
        <w:tc>
          <w:tcPr>
            <w:tcW w:w="2784" w:type="dxa"/>
            <w:tcBorders>
              <w:top w:val="single" w:sz="4" w:space="0" w:color="auto"/>
              <w:left w:val="single" w:sz="4" w:space="0" w:color="auto"/>
              <w:right w:val="single" w:sz="4" w:space="0" w:color="auto"/>
            </w:tcBorders>
          </w:tcPr>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Preston North East</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Outline Development</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Study produced with</w:t>
            </w:r>
          </w:p>
          <w:p w:rsidR="006B2F10" w:rsidRPr="002C380F" w:rsidRDefault="006B2F10" w:rsidP="002C380F">
            <w:pPr>
              <w:ind w:left="720" w:hanging="720"/>
              <w:rPr>
                <w:rFonts w:ascii="Arial" w:hAnsi="Arial" w:cs="Arial"/>
                <w:sz w:val="24"/>
                <w:szCs w:val="24"/>
              </w:rPr>
            </w:pPr>
            <w:r w:rsidRPr="002C380F">
              <w:rPr>
                <w:rFonts w:ascii="Arial" w:hAnsi="Arial" w:cs="Arial"/>
                <w:sz w:val="24"/>
                <w:szCs w:val="24"/>
              </w:rPr>
              <w:t>commercial land</w:t>
            </w:r>
          </w:p>
          <w:p w:rsidR="006B2F10" w:rsidRDefault="006B2F10" w:rsidP="002C380F">
            <w:pPr>
              <w:ind w:left="720" w:hanging="720"/>
              <w:rPr>
                <w:rFonts w:ascii="Arial" w:hAnsi="Arial" w:cs="Arial"/>
                <w:sz w:val="24"/>
                <w:szCs w:val="24"/>
              </w:rPr>
            </w:pPr>
            <w:r w:rsidRPr="002C380F">
              <w:rPr>
                <w:rFonts w:ascii="Arial" w:hAnsi="Arial" w:cs="Arial"/>
                <w:sz w:val="24"/>
                <w:szCs w:val="24"/>
              </w:rPr>
              <w:t>owners</w:t>
            </w:r>
          </w:p>
          <w:p w:rsidR="002C380F" w:rsidRDefault="002C380F" w:rsidP="002C380F">
            <w:pPr>
              <w:ind w:left="720" w:hanging="720"/>
              <w:rPr>
                <w:rFonts w:ascii="Arial" w:hAnsi="Arial" w:cs="Arial"/>
                <w:sz w:val="24"/>
                <w:szCs w:val="24"/>
              </w:rPr>
            </w:pPr>
          </w:p>
          <w:p w:rsidR="002C380F" w:rsidRDefault="002C380F" w:rsidP="002C380F">
            <w:pPr>
              <w:ind w:left="720" w:hanging="720"/>
              <w:rPr>
                <w:rFonts w:ascii="Arial" w:hAnsi="Arial" w:cs="Arial"/>
                <w:sz w:val="24"/>
                <w:szCs w:val="24"/>
              </w:rPr>
            </w:pPr>
          </w:p>
          <w:p w:rsidR="002C380F" w:rsidRPr="002C380F" w:rsidRDefault="002C380F" w:rsidP="002C380F">
            <w:pPr>
              <w:ind w:left="720" w:hanging="720"/>
              <w:rPr>
                <w:rFonts w:ascii="Arial" w:hAnsi="Arial" w:cs="Arial"/>
                <w:sz w:val="24"/>
                <w:szCs w:val="24"/>
              </w:rPr>
            </w:pPr>
          </w:p>
        </w:tc>
      </w:tr>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Investor awareness  </w:t>
            </w:r>
          </w:p>
        </w:tc>
        <w:tc>
          <w:tcPr>
            <w:tcW w:w="3969"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City Deal Marketing &amp;</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Communications Strategy in </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place </w:t>
            </w:r>
          </w:p>
          <w:p w:rsidR="006B2F10" w:rsidRPr="002C380F" w:rsidRDefault="006B2F10" w:rsidP="002C380F">
            <w:pPr>
              <w:ind w:left="720" w:hanging="660"/>
              <w:rPr>
                <w:rFonts w:ascii="Arial" w:hAnsi="Arial" w:cs="Arial"/>
                <w:sz w:val="24"/>
                <w:szCs w:val="24"/>
              </w:rPr>
            </w:pPr>
          </w:p>
          <w:p w:rsidR="006B2F10" w:rsidRPr="002C380F" w:rsidRDefault="006B2F10" w:rsidP="002C380F">
            <w:pPr>
              <w:ind w:left="660" w:hanging="660"/>
              <w:rPr>
                <w:rFonts w:ascii="Arial" w:hAnsi="Arial" w:cs="Arial"/>
                <w:sz w:val="24"/>
                <w:szCs w:val="24"/>
              </w:rPr>
            </w:pP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City Deal </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Marketing &amp;</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Communications</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Strategy continues</w:t>
            </w:r>
          </w:p>
          <w:p w:rsidR="006B2F10" w:rsidRPr="002C380F" w:rsidRDefault="006B2F10" w:rsidP="002C380F">
            <w:pPr>
              <w:ind w:left="720" w:hanging="660"/>
              <w:rPr>
                <w:rFonts w:ascii="Arial" w:hAnsi="Arial" w:cs="Arial"/>
                <w:sz w:val="24"/>
                <w:szCs w:val="24"/>
              </w:rPr>
            </w:pPr>
            <w:proofErr w:type="gramStart"/>
            <w:r w:rsidRPr="002C380F">
              <w:rPr>
                <w:rFonts w:ascii="Arial" w:hAnsi="Arial" w:cs="Arial"/>
                <w:sz w:val="24"/>
                <w:szCs w:val="24"/>
              </w:rPr>
              <w:t>to</w:t>
            </w:r>
            <w:proofErr w:type="gramEnd"/>
            <w:r w:rsidRPr="002C380F">
              <w:rPr>
                <w:rFonts w:ascii="Arial" w:hAnsi="Arial" w:cs="Arial"/>
                <w:sz w:val="24"/>
                <w:szCs w:val="24"/>
              </w:rPr>
              <w:t xml:space="preserve"> be implemented. </w:t>
            </w:r>
          </w:p>
        </w:tc>
      </w:tr>
    </w:tbl>
    <w:p w:rsidR="006B2F10" w:rsidRPr="002C380F" w:rsidRDefault="006B2F10" w:rsidP="002C380F">
      <w:pPr>
        <w:spacing w:after="0" w:line="240" w:lineRule="auto"/>
        <w:jc w:val="both"/>
        <w:rPr>
          <w:rFonts w:ascii="Arial" w:hAnsi="Arial" w:cs="Arial"/>
          <w:sz w:val="24"/>
          <w:szCs w:val="24"/>
          <w:u w:val="single"/>
        </w:rPr>
      </w:pPr>
    </w:p>
    <w:p w:rsidR="004D7428" w:rsidRDefault="004D7428">
      <w:pPr>
        <w:rPr>
          <w:rFonts w:ascii="Arial" w:hAnsi="Arial" w:cs="Arial"/>
          <w:b/>
          <w:sz w:val="24"/>
          <w:szCs w:val="24"/>
          <w:u w:val="single"/>
        </w:rPr>
      </w:pPr>
      <w:r>
        <w:rPr>
          <w:rFonts w:ascii="Arial" w:hAnsi="Arial" w:cs="Arial"/>
          <w:b/>
          <w:sz w:val="24"/>
          <w:szCs w:val="24"/>
          <w:u w:val="single"/>
        </w:rPr>
        <w:br w:type="page"/>
      </w:r>
    </w:p>
    <w:p w:rsidR="006B2F10" w:rsidRPr="002C380F" w:rsidRDefault="006B2F10" w:rsidP="002C380F">
      <w:pPr>
        <w:spacing w:after="0" w:line="240" w:lineRule="auto"/>
        <w:jc w:val="both"/>
        <w:rPr>
          <w:rFonts w:ascii="Arial" w:hAnsi="Arial" w:cs="Arial"/>
          <w:b/>
          <w:sz w:val="24"/>
          <w:szCs w:val="24"/>
        </w:rPr>
      </w:pPr>
      <w:r w:rsidRPr="002C380F">
        <w:rPr>
          <w:rFonts w:ascii="Arial" w:hAnsi="Arial" w:cs="Arial"/>
          <w:b/>
          <w:sz w:val="24"/>
          <w:szCs w:val="24"/>
          <w:u w:val="single"/>
        </w:rPr>
        <w:t>Delivery risks</w:t>
      </w:r>
    </w:p>
    <w:tbl>
      <w:tblPr>
        <w:tblStyle w:val="TableGrid"/>
        <w:tblpPr w:leftFromText="180" w:rightFromText="180" w:vertAnchor="text" w:tblpY="1"/>
        <w:tblOverlap w:val="never"/>
        <w:tblW w:w="0" w:type="auto"/>
        <w:tblLook w:val="04A0" w:firstRow="1" w:lastRow="0" w:firstColumn="1" w:lastColumn="0" w:noHBand="0" w:noVBand="1"/>
      </w:tblPr>
      <w:tblGrid>
        <w:gridCol w:w="2263"/>
        <w:gridCol w:w="3969"/>
        <w:gridCol w:w="2784"/>
      </w:tblGrid>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Risk </w:t>
            </w:r>
          </w:p>
        </w:tc>
        <w:tc>
          <w:tcPr>
            <w:tcW w:w="3969"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Mitigation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Update </w:t>
            </w:r>
          </w:p>
        </w:tc>
      </w:tr>
      <w:tr w:rsidR="006B2F10" w:rsidRPr="002C380F" w:rsidTr="002C380F">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HCA site delivery </w:t>
            </w:r>
          </w:p>
        </w:tc>
        <w:tc>
          <w:tcPr>
            <w:tcW w:w="3969"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ind w:left="660" w:hanging="660"/>
              <w:rPr>
                <w:rFonts w:ascii="Arial" w:hAnsi="Arial" w:cs="Arial"/>
                <w:sz w:val="24"/>
                <w:szCs w:val="24"/>
              </w:rPr>
            </w:pPr>
            <w:r w:rsidRPr="002C380F">
              <w:rPr>
                <w:rFonts w:ascii="Arial" w:hAnsi="Arial" w:cs="Arial"/>
                <w:sz w:val="24"/>
                <w:szCs w:val="24"/>
              </w:rPr>
              <w:t>HCA streamlined site disposal</w:t>
            </w:r>
          </w:p>
          <w:p w:rsidR="006B2F10" w:rsidRPr="002C380F" w:rsidRDefault="006B2F10" w:rsidP="002C380F">
            <w:pPr>
              <w:ind w:left="660" w:hanging="660"/>
              <w:rPr>
                <w:rFonts w:ascii="Arial" w:hAnsi="Arial" w:cs="Arial"/>
                <w:sz w:val="24"/>
                <w:szCs w:val="24"/>
              </w:rPr>
            </w:pPr>
            <w:proofErr w:type="gramStart"/>
            <w:r w:rsidRPr="002C380F">
              <w:rPr>
                <w:rFonts w:ascii="Arial" w:hAnsi="Arial" w:cs="Arial"/>
                <w:sz w:val="24"/>
                <w:szCs w:val="24"/>
              </w:rPr>
              <w:t>processes</w:t>
            </w:r>
            <w:proofErr w:type="gramEnd"/>
            <w:r w:rsidRPr="002C380F">
              <w:rPr>
                <w:rFonts w:ascii="Arial" w:hAnsi="Arial" w:cs="Arial"/>
                <w:sz w:val="24"/>
                <w:szCs w:val="24"/>
              </w:rPr>
              <w:t xml:space="preserve">.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Continuing work with agents</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Direct commissioning/ Accelerated delivery being considered for certain sites e.g. </w:t>
            </w:r>
            <w:proofErr w:type="spellStart"/>
            <w:r w:rsidRPr="002C380F">
              <w:rPr>
                <w:rFonts w:ascii="Arial" w:hAnsi="Arial" w:cs="Arial"/>
                <w:sz w:val="24"/>
                <w:szCs w:val="24"/>
              </w:rPr>
              <w:t>Altcar</w:t>
            </w:r>
            <w:proofErr w:type="spellEnd"/>
            <w:r w:rsidRPr="002C380F">
              <w:rPr>
                <w:rFonts w:ascii="Arial" w:hAnsi="Arial" w:cs="Arial"/>
                <w:sz w:val="24"/>
                <w:szCs w:val="24"/>
              </w:rPr>
              <w:t xml:space="preserve"> Lane.</w:t>
            </w:r>
          </w:p>
        </w:tc>
      </w:tr>
      <w:tr w:rsidR="006B2F10" w:rsidRPr="002C380F" w:rsidTr="002C380F">
        <w:trPr>
          <w:trHeight w:val="1554"/>
        </w:trPr>
        <w:tc>
          <w:tcPr>
            <w:tcW w:w="2263" w:type="dxa"/>
            <w:vMerge w:val="restart"/>
            <w:tcBorders>
              <w:top w:val="single" w:sz="4" w:space="0" w:color="auto"/>
              <w:left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Site take-up/market demand is slower than anticipated</w:t>
            </w: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HCA sites are being de-risked via </w:t>
            </w:r>
          </w:p>
          <w:p w:rsidR="006B2F10" w:rsidRPr="002C380F" w:rsidRDefault="006B2F10" w:rsidP="002C380F">
            <w:pPr>
              <w:ind w:left="720" w:hanging="660"/>
              <w:rPr>
                <w:rFonts w:ascii="Arial" w:hAnsi="Arial" w:cs="Arial"/>
                <w:sz w:val="24"/>
                <w:szCs w:val="24"/>
              </w:rPr>
            </w:pPr>
            <w:proofErr w:type="gramStart"/>
            <w:r w:rsidRPr="002C380F">
              <w:rPr>
                <w:rFonts w:ascii="Arial" w:hAnsi="Arial" w:cs="Arial"/>
                <w:sz w:val="24"/>
                <w:szCs w:val="24"/>
              </w:rPr>
              <w:t>a</w:t>
            </w:r>
            <w:proofErr w:type="gramEnd"/>
            <w:r w:rsidRPr="002C380F">
              <w:rPr>
                <w:rFonts w:ascii="Arial" w:hAnsi="Arial" w:cs="Arial"/>
                <w:sz w:val="24"/>
                <w:szCs w:val="24"/>
              </w:rPr>
              <w:t xml:space="preserve"> package of measures </w:t>
            </w:r>
            <w:proofErr w:type="spellStart"/>
            <w:r w:rsidRPr="002C380F">
              <w:rPr>
                <w:rFonts w:ascii="Arial" w:hAnsi="Arial" w:cs="Arial"/>
                <w:sz w:val="24"/>
                <w:szCs w:val="24"/>
              </w:rPr>
              <w:t>eg</w:t>
            </w:r>
            <w:proofErr w:type="spellEnd"/>
            <w:r w:rsidRPr="002C380F">
              <w:rPr>
                <w:rFonts w:ascii="Arial" w:hAnsi="Arial" w:cs="Arial"/>
                <w:sz w:val="24"/>
                <w:szCs w:val="24"/>
              </w:rPr>
              <w:t>. title</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due diligence, securing planning,</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engagement with agents/legal</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team</w:t>
            </w:r>
          </w:p>
        </w:tc>
        <w:tc>
          <w:tcPr>
            <w:tcW w:w="2784" w:type="dxa"/>
            <w:tcBorders>
              <w:top w:val="single" w:sz="4" w:space="0" w:color="auto"/>
              <w:left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Additional HCA</w:t>
            </w:r>
          </w:p>
          <w:p w:rsidR="006B2F10" w:rsidRPr="002C380F" w:rsidRDefault="006B2F10" w:rsidP="002C380F">
            <w:pPr>
              <w:ind w:left="34" w:firstLine="26"/>
              <w:rPr>
                <w:rFonts w:ascii="Arial" w:hAnsi="Arial" w:cs="Arial"/>
                <w:sz w:val="24"/>
                <w:szCs w:val="24"/>
              </w:rPr>
            </w:pPr>
            <w:r w:rsidRPr="002C380F">
              <w:rPr>
                <w:rFonts w:ascii="Arial" w:hAnsi="Arial" w:cs="Arial"/>
                <w:sz w:val="24"/>
                <w:szCs w:val="24"/>
              </w:rPr>
              <w:t>Resources to support the delivery of key strategic sites.</w:t>
            </w: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tc>
      </w:tr>
      <w:tr w:rsidR="006B2F10" w:rsidRPr="002C380F" w:rsidTr="002C380F">
        <w:trPr>
          <w:trHeight w:val="1266"/>
        </w:trPr>
        <w:tc>
          <w:tcPr>
            <w:tcW w:w="2263" w:type="dxa"/>
            <w:vMerge/>
            <w:tcBorders>
              <w:left w:val="single" w:sz="4" w:space="0" w:color="auto"/>
              <w:right w:val="single" w:sz="4" w:space="0" w:color="auto"/>
            </w:tcBorders>
          </w:tcPr>
          <w:p w:rsidR="006B2F10" w:rsidRPr="002C380F" w:rsidRDefault="006B2F10" w:rsidP="002C380F">
            <w:pP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Regular soft market testing</w:t>
            </w:r>
          </w:p>
        </w:tc>
        <w:tc>
          <w:tcPr>
            <w:tcW w:w="2784" w:type="dxa"/>
            <w:tcBorders>
              <w:left w:val="single" w:sz="4" w:space="0" w:color="auto"/>
              <w:right w:val="single" w:sz="4" w:space="0" w:color="auto"/>
            </w:tcBorders>
          </w:tcPr>
          <w:p w:rsidR="006B2F10" w:rsidRPr="002C380F" w:rsidRDefault="006B2F10" w:rsidP="002C380F">
            <w:pPr>
              <w:ind w:firstLine="60"/>
              <w:rPr>
                <w:rFonts w:ascii="Arial" w:hAnsi="Arial" w:cs="Arial"/>
                <w:sz w:val="24"/>
                <w:szCs w:val="24"/>
              </w:rPr>
            </w:pPr>
            <w:r w:rsidRPr="002C380F">
              <w:rPr>
                <w:rFonts w:ascii="Arial" w:hAnsi="Arial" w:cs="Arial"/>
                <w:sz w:val="24"/>
                <w:szCs w:val="24"/>
              </w:rPr>
              <w:t>Sensitivity testing ongoing to identify potential implications on broader economic trends.</w:t>
            </w:r>
          </w:p>
        </w:tc>
      </w:tr>
      <w:tr w:rsidR="006B2F10" w:rsidRPr="002C380F" w:rsidTr="002C380F">
        <w:trPr>
          <w:trHeight w:val="987"/>
        </w:trPr>
        <w:tc>
          <w:tcPr>
            <w:tcW w:w="2263" w:type="dxa"/>
            <w:vMerge/>
            <w:tcBorders>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City Deal Investor and Developer </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Forums            </w:t>
            </w:r>
          </w:p>
        </w:tc>
        <w:tc>
          <w:tcPr>
            <w:tcW w:w="2784" w:type="dxa"/>
            <w:tcBorders>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A programme of</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Investor Awareness</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activity programmed</w:t>
            </w:r>
          </w:p>
        </w:tc>
      </w:tr>
      <w:tr w:rsidR="006B2F10" w:rsidRPr="002C380F" w:rsidTr="002C380F">
        <w:trPr>
          <w:trHeight w:val="1539"/>
        </w:trPr>
        <w:tc>
          <w:tcPr>
            <w:tcW w:w="2263"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Housing and commercial construction and skills capacity  </w:t>
            </w:r>
          </w:p>
        </w:tc>
        <w:tc>
          <w:tcPr>
            <w:tcW w:w="3969"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b/>
                <w:i/>
                <w:sz w:val="24"/>
                <w:szCs w:val="24"/>
              </w:rPr>
              <w:t>LEP</w:t>
            </w:r>
            <w:r w:rsidRPr="002C380F">
              <w:rPr>
                <w:rFonts w:ascii="Arial" w:hAnsi="Arial" w:cs="Arial"/>
                <w:sz w:val="24"/>
                <w:szCs w:val="24"/>
              </w:rPr>
              <w:t xml:space="preserve"> </w:t>
            </w:r>
            <w:r w:rsidRPr="002C380F">
              <w:rPr>
                <w:rFonts w:ascii="Arial" w:hAnsi="Arial" w:cs="Arial"/>
                <w:b/>
                <w:i/>
                <w:sz w:val="24"/>
                <w:szCs w:val="24"/>
              </w:rPr>
              <w:t xml:space="preserve">Skills Hub </w:t>
            </w:r>
            <w:r w:rsidRPr="002C380F">
              <w:rPr>
                <w:rFonts w:ascii="Arial" w:hAnsi="Arial" w:cs="Arial"/>
                <w:sz w:val="24"/>
                <w:szCs w:val="24"/>
              </w:rPr>
              <w:t>established</w:t>
            </w: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b/>
                <w:i/>
                <w:sz w:val="24"/>
                <w:szCs w:val="24"/>
              </w:rPr>
              <w:t xml:space="preserve">Construction Hub </w:t>
            </w:r>
            <w:r w:rsidRPr="002C380F">
              <w:rPr>
                <w:rFonts w:ascii="Arial" w:hAnsi="Arial" w:cs="Arial"/>
                <w:sz w:val="24"/>
                <w:szCs w:val="24"/>
              </w:rPr>
              <w:t xml:space="preserve">established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Skills Action Plan</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Produced/Metrics</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agreed </w:t>
            </w: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Central Lancs</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Employment &amp; Skills</w:t>
            </w: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SPD drafted</w:t>
            </w:r>
          </w:p>
          <w:p w:rsidR="006B2F10" w:rsidRPr="002C380F" w:rsidRDefault="006B2F10" w:rsidP="002C380F">
            <w:pPr>
              <w:ind w:left="720" w:hanging="660"/>
              <w:rPr>
                <w:rFonts w:ascii="Arial" w:hAnsi="Arial" w:cs="Arial"/>
                <w:sz w:val="24"/>
                <w:szCs w:val="24"/>
              </w:rPr>
            </w:pPr>
          </w:p>
          <w:p w:rsidR="006B2F10" w:rsidRPr="002C380F" w:rsidRDefault="006B2F10" w:rsidP="002C380F">
            <w:pPr>
              <w:ind w:left="720" w:hanging="660"/>
              <w:rPr>
                <w:rFonts w:ascii="Arial" w:hAnsi="Arial" w:cs="Arial"/>
                <w:sz w:val="24"/>
                <w:szCs w:val="24"/>
              </w:rPr>
            </w:pPr>
            <w:r w:rsidRPr="002C380F">
              <w:rPr>
                <w:rFonts w:ascii="Arial" w:hAnsi="Arial" w:cs="Arial"/>
                <w:sz w:val="24"/>
                <w:szCs w:val="24"/>
              </w:rPr>
              <w:t xml:space="preserve">First 'buyer' event held   </w:t>
            </w:r>
          </w:p>
        </w:tc>
      </w:tr>
    </w:tbl>
    <w:p w:rsidR="006B2F10" w:rsidRDefault="006B2F10" w:rsidP="002C380F">
      <w:pPr>
        <w:spacing w:after="0" w:line="240" w:lineRule="auto"/>
        <w:jc w:val="both"/>
        <w:rPr>
          <w:rFonts w:ascii="Arial" w:hAnsi="Arial" w:cs="Arial"/>
          <w:sz w:val="24"/>
          <w:szCs w:val="24"/>
        </w:rPr>
      </w:pPr>
    </w:p>
    <w:p w:rsidR="002C380F" w:rsidRDefault="002C380F" w:rsidP="002C380F">
      <w:pPr>
        <w:spacing w:after="0" w:line="240" w:lineRule="auto"/>
        <w:jc w:val="both"/>
        <w:rPr>
          <w:rFonts w:ascii="Arial" w:hAnsi="Arial" w:cs="Arial"/>
          <w:sz w:val="24"/>
          <w:szCs w:val="24"/>
        </w:rPr>
      </w:pPr>
    </w:p>
    <w:p w:rsidR="002C380F" w:rsidRDefault="002C380F" w:rsidP="002C380F">
      <w:pPr>
        <w:spacing w:after="0" w:line="240" w:lineRule="auto"/>
        <w:jc w:val="both"/>
        <w:rPr>
          <w:rFonts w:ascii="Arial" w:hAnsi="Arial" w:cs="Arial"/>
          <w:sz w:val="24"/>
          <w:szCs w:val="24"/>
        </w:rPr>
      </w:pPr>
    </w:p>
    <w:p w:rsidR="002C380F" w:rsidRDefault="002C380F" w:rsidP="002C380F">
      <w:pPr>
        <w:spacing w:after="0" w:line="240" w:lineRule="auto"/>
        <w:jc w:val="both"/>
        <w:rPr>
          <w:rFonts w:ascii="Arial" w:hAnsi="Arial" w:cs="Arial"/>
          <w:sz w:val="24"/>
          <w:szCs w:val="24"/>
        </w:rPr>
      </w:pPr>
    </w:p>
    <w:p w:rsidR="002C380F" w:rsidRDefault="002C380F" w:rsidP="002C380F">
      <w:pPr>
        <w:spacing w:after="0" w:line="240" w:lineRule="auto"/>
        <w:jc w:val="both"/>
        <w:rPr>
          <w:rFonts w:ascii="Arial" w:hAnsi="Arial" w:cs="Arial"/>
          <w:sz w:val="24"/>
          <w:szCs w:val="24"/>
        </w:rPr>
      </w:pPr>
    </w:p>
    <w:p w:rsidR="002C380F" w:rsidRPr="002C380F" w:rsidRDefault="002C380F" w:rsidP="002C380F">
      <w:pPr>
        <w:spacing w:after="0" w:line="240" w:lineRule="auto"/>
        <w:jc w:val="both"/>
        <w:rPr>
          <w:rFonts w:ascii="Arial" w:hAnsi="Arial" w:cs="Arial"/>
          <w:sz w:val="24"/>
          <w:szCs w:val="24"/>
        </w:rPr>
      </w:pPr>
    </w:p>
    <w:p w:rsidR="004D7428" w:rsidRDefault="004D7428">
      <w:pPr>
        <w:rPr>
          <w:rFonts w:ascii="Arial" w:hAnsi="Arial" w:cs="Arial"/>
          <w:b/>
          <w:sz w:val="24"/>
          <w:szCs w:val="24"/>
          <w:u w:val="single"/>
        </w:rPr>
      </w:pPr>
      <w:r>
        <w:rPr>
          <w:rFonts w:ascii="Arial" w:hAnsi="Arial" w:cs="Arial"/>
          <w:b/>
          <w:sz w:val="24"/>
          <w:szCs w:val="24"/>
          <w:u w:val="single"/>
        </w:rPr>
        <w:br w:type="page"/>
      </w:r>
    </w:p>
    <w:p w:rsidR="006B2F10" w:rsidRPr="002C380F" w:rsidRDefault="006B2F10" w:rsidP="002C380F">
      <w:pPr>
        <w:spacing w:after="0" w:line="240" w:lineRule="auto"/>
        <w:rPr>
          <w:rFonts w:ascii="Arial" w:hAnsi="Arial" w:cs="Arial"/>
          <w:b/>
          <w:sz w:val="24"/>
          <w:szCs w:val="24"/>
          <w:u w:val="single"/>
        </w:rPr>
      </w:pPr>
      <w:bookmarkStart w:id="0" w:name="_GoBack"/>
      <w:bookmarkEnd w:id="0"/>
      <w:r w:rsidRPr="002C380F">
        <w:rPr>
          <w:rFonts w:ascii="Arial" w:hAnsi="Arial" w:cs="Arial"/>
          <w:b/>
          <w:sz w:val="24"/>
          <w:szCs w:val="24"/>
          <w:u w:val="single"/>
        </w:rPr>
        <w:t xml:space="preserve">Policy &amp; Political risks </w:t>
      </w:r>
    </w:p>
    <w:p w:rsidR="006B2F10" w:rsidRPr="002C380F" w:rsidRDefault="006B2F10" w:rsidP="002C380F">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405"/>
        <w:gridCol w:w="3827"/>
        <w:gridCol w:w="2784"/>
      </w:tblGrid>
      <w:tr w:rsidR="006B2F10" w:rsidRPr="002C380F" w:rsidTr="002C380F">
        <w:tc>
          <w:tcPr>
            <w:tcW w:w="2405"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Risk </w:t>
            </w:r>
          </w:p>
        </w:tc>
        <w:tc>
          <w:tcPr>
            <w:tcW w:w="3827"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Mitigation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b/>
                <w:sz w:val="24"/>
                <w:szCs w:val="24"/>
              </w:rPr>
            </w:pPr>
            <w:r w:rsidRPr="002C380F">
              <w:rPr>
                <w:rFonts w:ascii="Arial" w:hAnsi="Arial" w:cs="Arial"/>
                <w:b/>
                <w:sz w:val="24"/>
                <w:szCs w:val="24"/>
              </w:rPr>
              <w:t xml:space="preserve">Update </w:t>
            </w:r>
          </w:p>
        </w:tc>
      </w:tr>
      <w:tr w:rsidR="006B2F10" w:rsidRPr="002C380F" w:rsidTr="002C380F">
        <w:tc>
          <w:tcPr>
            <w:tcW w:w="2405"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New Homes Bonus/CIL/NNDR Policy change – risk of Government policy change may reduce resources</w:t>
            </w:r>
          </w:p>
        </w:tc>
        <w:tc>
          <w:tcPr>
            <w:tcW w:w="3827"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Negotiation between Government, the LEP and CD local authorities</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t xml:space="preserve">Starter Homes/Direct Commissioning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Initial impact analysis undertaken.  Announcement from Government awaited.</w:t>
            </w:r>
          </w:p>
        </w:tc>
      </w:tr>
      <w:tr w:rsidR="006B2F10" w:rsidRPr="002C380F" w:rsidTr="002C380F">
        <w:tc>
          <w:tcPr>
            <w:tcW w:w="2405"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 xml:space="preserve">Political administration change </w:t>
            </w:r>
          </w:p>
        </w:tc>
        <w:tc>
          <w:tcPr>
            <w:tcW w:w="3827" w:type="dxa"/>
            <w:tcBorders>
              <w:top w:val="single" w:sz="4" w:space="0" w:color="auto"/>
              <w:left w:val="single" w:sz="4" w:space="0" w:color="auto"/>
              <w:bottom w:val="single" w:sz="4" w:space="0" w:color="auto"/>
              <w:right w:val="single" w:sz="4" w:space="0" w:color="auto"/>
            </w:tcBorders>
            <w:hideMark/>
          </w:tcPr>
          <w:p w:rsidR="006B2F10" w:rsidRPr="002C380F" w:rsidRDefault="006B2F10" w:rsidP="002C380F">
            <w:pPr>
              <w:rPr>
                <w:rFonts w:ascii="Arial" w:hAnsi="Arial" w:cs="Arial"/>
                <w:sz w:val="24"/>
                <w:szCs w:val="24"/>
              </w:rPr>
            </w:pPr>
            <w:r w:rsidRPr="002C380F">
              <w:rPr>
                <w:rFonts w:ascii="Arial" w:hAnsi="Arial" w:cs="Arial"/>
                <w:sz w:val="24"/>
                <w:szCs w:val="24"/>
              </w:rPr>
              <w:t>Respective Cabinets for each of the 3 CD local authorities endorsing the City Deal</w:t>
            </w:r>
          </w:p>
          <w:p w:rsidR="006B2F10" w:rsidRPr="002C380F" w:rsidRDefault="006B2F10" w:rsidP="002C380F">
            <w:pPr>
              <w:rPr>
                <w:rFonts w:ascii="Arial" w:hAnsi="Arial" w:cs="Arial"/>
                <w:sz w:val="24"/>
                <w:szCs w:val="24"/>
              </w:rPr>
            </w:pPr>
          </w:p>
          <w:p w:rsidR="006B2F10" w:rsidRPr="002C380F" w:rsidRDefault="006B2F10" w:rsidP="002C380F">
            <w:pPr>
              <w:rPr>
                <w:rFonts w:ascii="Arial" w:hAnsi="Arial" w:cs="Arial"/>
                <w:sz w:val="24"/>
                <w:szCs w:val="24"/>
              </w:rPr>
            </w:pPr>
            <w:r w:rsidRPr="002C380F">
              <w:rPr>
                <w:rFonts w:ascii="Arial" w:hAnsi="Arial" w:cs="Arial"/>
                <w:sz w:val="24"/>
                <w:szCs w:val="24"/>
              </w:rPr>
              <w:lastRenderedPageBreak/>
              <w:t xml:space="preserve">City Deal governance arrangements </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lastRenderedPageBreak/>
              <w:t>Member briefings to be held in 2017.</w:t>
            </w:r>
          </w:p>
        </w:tc>
      </w:tr>
      <w:tr w:rsidR="006B2F10" w:rsidRPr="002C380F" w:rsidTr="002C380F">
        <w:tc>
          <w:tcPr>
            <w:tcW w:w="2405"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Uncertain market place brought about by ‘Brexit’</w:t>
            </w:r>
          </w:p>
          <w:p w:rsidR="006B2F10" w:rsidRPr="002C380F" w:rsidRDefault="006B2F10" w:rsidP="002C380F">
            <w:pPr>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r w:rsidRPr="002C380F">
              <w:rPr>
                <w:rFonts w:ascii="Arial" w:hAnsi="Arial" w:cs="Arial"/>
                <w:sz w:val="24"/>
                <w:szCs w:val="24"/>
              </w:rPr>
              <w:t>Monitoring arrangements by E&amp;SB</w:t>
            </w:r>
          </w:p>
        </w:tc>
        <w:tc>
          <w:tcPr>
            <w:tcW w:w="2784" w:type="dxa"/>
            <w:tcBorders>
              <w:top w:val="single" w:sz="4" w:space="0" w:color="auto"/>
              <w:left w:val="single" w:sz="4" w:space="0" w:color="auto"/>
              <w:bottom w:val="single" w:sz="4" w:space="0" w:color="auto"/>
              <w:right w:val="single" w:sz="4" w:space="0" w:color="auto"/>
            </w:tcBorders>
          </w:tcPr>
          <w:p w:rsidR="006B2F10" w:rsidRPr="002C380F" w:rsidRDefault="006B2F10" w:rsidP="002C380F">
            <w:pPr>
              <w:rPr>
                <w:rFonts w:ascii="Arial" w:hAnsi="Arial" w:cs="Arial"/>
                <w:sz w:val="24"/>
                <w:szCs w:val="24"/>
              </w:rPr>
            </w:pPr>
          </w:p>
        </w:tc>
      </w:tr>
    </w:tbl>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b/>
          <w:sz w:val="24"/>
          <w:szCs w:val="24"/>
          <w:u w:val="single"/>
        </w:rPr>
      </w:pPr>
      <w:r w:rsidRPr="002C380F">
        <w:rPr>
          <w:rFonts w:ascii="Arial" w:hAnsi="Arial" w:cs="Arial"/>
          <w:b/>
          <w:sz w:val="24"/>
          <w:szCs w:val="24"/>
          <w:u w:val="single"/>
        </w:rPr>
        <w:t>SECTION G: FUTURE MONITORING ACTIVITY</w:t>
      </w:r>
    </w:p>
    <w:p w:rsidR="006B2F10" w:rsidRPr="002C380F" w:rsidRDefault="006B2F10" w:rsidP="002C380F">
      <w:pPr>
        <w:spacing w:after="0" w:line="240" w:lineRule="auto"/>
        <w:rPr>
          <w:rFonts w:ascii="Arial" w:hAnsi="Arial" w:cs="Arial"/>
          <w:b/>
          <w:sz w:val="24"/>
          <w:szCs w:val="24"/>
          <w:u w:val="single"/>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The monitoring activity undertaken by the Monitoring Group, is kept under constant review, to ensure that processes are as streamlined as possible and the presentation of the information is easily understood.  This is the first time that qualitative information on the housing and commercial sites has been brought together with the quantitative information on the core/supporting outputs and it is acknowledged that there is a huge amount of information to both collate and digest.  A lot has been learnt throughout the process and in future it is hoped that the process can be made leaner, by having early 1:1's with the planning officers and cutting down on the number of forms to be completed.</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In addition, in order to ensure that the E&amp;SB and the working groups receive the information in a timely way, it is proposed to hold the various working group meetings (IDSG</w:t>
      </w:r>
      <w:proofErr w:type="gramStart"/>
      <w:r w:rsidRPr="002C380F">
        <w:rPr>
          <w:rFonts w:ascii="Arial" w:hAnsi="Arial" w:cs="Arial"/>
          <w:sz w:val="24"/>
          <w:szCs w:val="24"/>
        </w:rPr>
        <w:t>,PT,PB</w:t>
      </w:r>
      <w:proofErr w:type="gramEnd"/>
      <w:r w:rsidRPr="002C380F">
        <w:rPr>
          <w:rFonts w:ascii="Arial" w:hAnsi="Arial" w:cs="Arial"/>
          <w:sz w:val="24"/>
          <w:szCs w:val="24"/>
        </w:rPr>
        <w:t xml:space="preserve">) closer to the E&amp;SB meetings, giving a longer period of time to refine and finalise the information before it makes its way through the formal governance channels. </w:t>
      </w:r>
    </w:p>
    <w:p w:rsidR="006B2F10" w:rsidRPr="002C380F" w:rsidRDefault="006B2F10" w:rsidP="002C380F">
      <w:pPr>
        <w:spacing w:after="0" w:line="240" w:lineRule="auto"/>
        <w:rPr>
          <w:rFonts w:ascii="Arial" w:hAnsi="Arial" w:cs="Arial"/>
          <w:sz w:val="24"/>
          <w:szCs w:val="24"/>
        </w:rPr>
      </w:pPr>
    </w:p>
    <w:p w:rsidR="006B2F10"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Work is also underway to improve the way in which the information is presented. For example, by adopting a data dashboard approach, thereby providing the most important pieces of information in a more visual way, on a single sheet of paper. </w:t>
      </w:r>
    </w:p>
    <w:p w:rsidR="006B2F10" w:rsidRPr="002C380F" w:rsidRDefault="006B2F10" w:rsidP="002C380F">
      <w:pPr>
        <w:spacing w:after="0" w:line="240" w:lineRule="auto"/>
        <w:rPr>
          <w:rFonts w:ascii="Arial" w:hAnsi="Arial" w:cs="Arial"/>
          <w:sz w:val="24"/>
          <w:szCs w:val="24"/>
        </w:rPr>
      </w:pPr>
    </w:p>
    <w:p w:rsidR="00D3134F" w:rsidRPr="002C380F" w:rsidRDefault="006B2F10" w:rsidP="002C380F">
      <w:pPr>
        <w:spacing w:after="0" w:line="240" w:lineRule="auto"/>
        <w:rPr>
          <w:rFonts w:ascii="Arial" w:hAnsi="Arial" w:cs="Arial"/>
          <w:sz w:val="24"/>
          <w:szCs w:val="24"/>
        </w:rPr>
      </w:pPr>
      <w:r w:rsidRPr="002C380F">
        <w:rPr>
          <w:rFonts w:ascii="Arial" w:hAnsi="Arial" w:cs="Arial"/>
          <w:sz w:val="24"/>
          <w:szCs w:val="24"/>
        </w:rPr>
        <w:t xml:space="preserve">Finally, the E&amp;SB is asked to note that work is underway to put more robust monitoring arrangements in place to capture social value on a project by project basis and that, at the next 6 monthly reporting period, information relating to the employment and skills metrics will also be provided. </w:t>
      </w:r>
    </w:p>
    <w:p w:rsidR="00054E0A" w:rsidRPr="002C380F" w:rsidRDefault="00054E0A" w:rsidP="002C380F">
      <w:pPr>
        <w:pStyle w:val="NoSpacing"/>
        <w:jc w:val="both"/>
        <w:rPr>
          <w:rFonts w:cs="Arial"/>
          <w:szCs w:val="24"/>
        </w:rPr>
      </w:pPr>
    </w:p>
    <w:sectPr w:rsidR="00054E0A" w:rsidRPr="002C380F">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80F" w:rsidRDefault="002C380F" w:rsidP="00440F6A">
      <w:pPr>
        <w:spacing w:after="0" w:line="240" w:lineRule="auto"/>
      </w:pPr>
      <w:r>
        <w:separator/>
      </w:r>
    </w:p>
  </w:endnote>
  <w:endnote w:type="continuationSeparator" w:id="0">
    <w:p w:rsidR="002C380F" w:rsidRDefault="002C380F"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0F" w:rsidRDefault="002C380F" w:rsidP="00440F6A">
    <w:pPr>
      <w:pStyle w:val="Footer"/>
    </w:pPr>
    <w:bookmarkStart w:id="1" w:name="aliashAdvancedFooterprot1FooterEvenPages"/>
  </w:p>
  <w:bookmarkEnd w:id="1"/>
  <w:p w:rsidR="002C380F" w:rsidRDefault="002C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0F" w:rsidRDefault="002C380F" w:rsidP="00440F6A">
    <w:pPr>
      <w:pStyle w:val="Footer"/>
    </w:pPr>
    <w:bookmarkStart w:id="2" w:name="aliashAdvancedFooterprotec1FooterPrimary"/>
  </w:p>
  <w:bookmarkEnd w:id="2"/>
  <w:p w:rsidR="002C380F" w:rsidRDefault="002C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0F" w:rsidRDefault="002C380F" w:rsidP="00440F6A">
    <w:pPr>
      <w:pStyle w:val="Footer"/>
    </w:pPr>
    <w:bookmarkStart w:id="3" w:name="aliashAdvancedFooterprot1FooterFirstPage"/>
  </w:p>
  <w:bookmarkEnd w:id="3"/>
  <w:p w:rsidR="002C380F" w:rsidRDefault="002C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80F" w:rsidRDefault="002C380F" w:rsidP="00440F6A">
      <w:pPr>
        <w:spacing w:after="0" w:line="240" w:lineRule="auto"/>
      </w:pPr>
      <w:r>
        <w:separator/>
      </w:r>
    </w:p>
  </w:footnote>
  <w:footnote w:type="continuationSeparator" w:id="0">
    <w:p w:rsidR="002C380F" w:rsidRDefault="002C380F"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0F" w:rsidRDefault="002C380F"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62"/>
    <w:multiLevelType w:val="hybridMultilevel"/>
    <w:tmpl w:val="899A4B06"/>
    <w:lvl w:ilvl="0" w:tplc="9C887798">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775BC"/>
    <w:multiLevelType w:val="hybridMultilevel"/>
    <w:tmpl w:val="E80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1514C"/>
    <w:multiLevelType w:val="hybridMultilevel"/>
    <w:tmpl w:val="4824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5F0BD8"/>
    <w:multiLevelType w:val="hybridMultilevel"/>
    <w:tmpl w:val="F62C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760CA"/>
    <w:multiLevelType w:val="hybridMultilevel"/>
    <w:tmpl w:val="F53E06CC"/>
    <w:lvl w:ilvl="0" w:tplc="543C046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C380F"/>
    <w:rsid w:val="002E1234"/>
    <w:rsid w:val="00303742"/>
    <w:rsid w:val="0035652C"/>
    <w:rsid w:val="00373267"/>
    <w:rsid w:val="0037633C"/>
    <w:rsid w:val="003B6A3F"/>
    <w:rsid w:val="003B7175"/>
    <w:rsid w:val="00440F6A"/>
    <w:rsid w:val="00442C68"/>
    <w:rsid w:val="0044360A"/>
    <w:rsid w:val="004B02C9"/>
    <w:rsid w:val="004C2AD8"/>
    <w:rsid w:val="004D7428"/>
    <w:rsid w:val="004F7E22"/>
    <w:rsid w:val="005023C6"/>
    <w:rsid w:val="00516FB0"/>
    <w:rsid w:val="005962FC"/>
    <w:rsid w:val="00676189"/>
    <w:rsid w:val="006A1583"/>
    <w:rsid w:val="006B2F10"/>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277E4"/>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6B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B2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52E5-156D-4899-A427-5339F25C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2016-11-11T13:52:00Z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Business and Delivery Plan - 6 Monthly Monitoring Report – 2016/17</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Friday, 18 November 2016</vt:lpwstr>
  </property>
</Properties>
</file>